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4FEEA" w14:textId="77777777" w:rsidR="008A79DE" w:rsidRDefault="008A79DE" w:rsidP="004B04E6">
      <w:pPr>
        <w:rPr>
          <w:rFonts w:ascii="Book Antiqua" w:eastAsia="SimSun" w:hAnsi="Book Antiqua"/>
          <w:b/>
          <w:smallCaps/>
          <w:sz w:val="19"/>
          <w:szCs w:val="19"/>
        </w:rPr>
      </w:pPr>
      <w:r>
        <w:rPr>
          <w:rFonts w:ascii="Book Antiqua" w:hAnsi="Book Antiqua" w:cs="Arial"/>
          <w:b/>
          <w:noProof/>
          <w:lang w:val="en-US"/>
        </w:rPr>
        <w:drawing>
          <wp:anchor distT="0" distB="0" distL="114300" distR="114300" simplePos="0" relativeHeight="251658240" behindDoc="0" locked="0" layoutInCell="1" allowOverlap="1" wp14:anchorId="64E3F045" wp14:editId="17858433">
            <wp:simplePos x="0" y="0"/>
            <wp:positionH relativeFrom="column">
              <wp:posOffset>-115570</wp:posOffset>
            </wp:positionH>
            <wp:positionV relativeFrom="paragraph">
              <wp:posOffset>83820</wp:posOffset>
            </wp:positionV>
            <wp:extent cx="791845" cy="826135"/>
            <wp:effectExtent l="0" t="0" r="8255" b="0"/>
            <wp:wrapSquare wrapText="bothSides"/>
            <wp:docPr id="20" name="Picture 20"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ere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1845" cy="826135"/>
                    </a:xfrm>
                    <a:prstGeom prst="rect">
                      <a:avLst/>
                    </a:prstGeom>
                    <a:noFill/>
                  </pic:spPr>
                </pic:pic>
              </a:graphicData>
            </a:graphic>
            <wp14:sizeRelH relativeFrom="page">
              <wp14:pctWidth>0</wp14:pctWidth>
            </wp14:sizeRelH>
            <wp14:sizeRelV relativeFrom="page">
              <wp14:pctHeight>0</wp14:pctHeight>
            </wp14:sizeRelV>
          </wp:anchor>
        </w:drawing>
      </w:r>
    </w:p>
    <w:p w14:paraId="57944A06" w14:textId="77777777" w:rsidR="008A79DE" w:rsidRDefault="008A79DE" w:rsidP="004B04E6">
      <w:pPr>
        <w:rPr>
          <w:rFonts w:ascii="Book Antiqua" w:eastAsia="SimSun" w:hAnsi="Book Antiqua"/>
          <w:b/>
          <w:smallCaps/>
          <w:sz w:val="19"/>
          <w:szCs w:val="19"/>
        </w:rPr>
      </w:pPr>
      <w:r>
        <w:rPr>
          <w:rFonts w:ascii="Book Antiqua" w:hAnsi="Book Antiqua" w:cs="Arial"/>
          <w:b/>
          <w:noProof/>
          <w:lang w:val="en-US"/>
        </w:rPr>
        <w:drawing>
          <wp:anchor distT="0" distB="0" distL="114300" distR="114300" simplePos="0" relativeHeight="251657216" behindDoc="0" locked="0" layoutInCell="1" allowOverlap="1" wp14:anchorId="782D590A" wp14:editId="7EBDBD87">
            <wp:simplePos x="0" y="0"/>
            <wp:positionH relativeFrom="column">
              <wp:posOffset>4876800</wp:posOffset>
            </wp:positionH>
            <wp:positionV relativeFrom="paragraph">
              <wp:posOffset>35560</wp:posOffset>
            </wp:positionV>
            <wp:extent cx="676275" cy="759460"/>
            <wp:effectExtent l="0" t="0" r="9525" b="2540"/>
            <wp:wrapNone/>
            <wp:docPr id="19" name="Picture 4"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E89B0C" w14:textId="77777777" w:rsidR="008A79DE" w:rsidRDefault="008A79DE" w:rsidP="004B04E6">
      <w:pPr>
        <w:rPr>
          <w:rFonts w:ascii="Book Antiqua" w:eastAsia="SimSun" w:hAnsi="Book Antiqua"/>
          <w:b/>
          <w:smallCaps/>
          <w:sz w:val="19"/>
          <w:szCs w:val="19"/>
        </w:rPr>
      </w:pPr>
    </w:p>
    <w:p w14:paraId="6C911783" w14:textId="77777777" w:rsidR="00DF634F" w:rsidRDefault="00DF634F" w:rsidP="004B04E6">
      <w:pPr>
        <w:rPr>
          <w:rFonts w:ascii="Book Antiqua" w:eastAsia="SimSun" w:hAnsi="Book Antiqua"/>
          <w:b/>
          <w:smallCaps/>
          <w:sz w:val="19"/>
          <w:szCs w:val="19"/>
        </w:rPr>
      </w:pPr>
    </w:p>
    <w:p w14:paraId="153FFC0C" w14:textId="77777777" w:rsidR="00010C43" w:rsidRPr="00FA0BF0" w:rsidRDefault="00010C43" w:rsidP="00010C43">
      <w:pPr>
        <w:rPr>
          <w:rFonts w:ascii="Book Antiqua" w:hAnsi="Book Antiqua" w:cs="Arial"/>
          <w:b/>
        </w:rPr>
      </w:pPr>
    </w:p>
    <w:p w14:paraId="52B50AC9" w14:textId="77777777" w:rsidR="00010C43" w:rsidRPr="00FA0BF0" w:rsidRDefault="00693515" w:rsidP="00693515">
      <w:pPr>
        <w:rPr>
          <w:rFonts w:ascii="Book Antiqua" w:hAnsi="Book Antiqua"/>
          <w:b/>
          <w:smallCaps/>
          <w:sz w:val="20"/>
          <w:szCs w:val="20"/>
        </w:rPr>
      </w:pPr>
      <w:r>
        <w:rPr>
          <w:rFonts w:ascii="Book Antiqua" w:hAnsi="Book Antiqua"/>
          <w:b/>
          <w:smallCaps/>
          <w:sz w:val="20"/>
          <w:szCs w:val="20"/>
        </w:rPr>
        <w:t>Republika e Kosovës – Republika Kosova – Republika e Kosovës</w:t>
      </w:r>
    </w:p>
    <w:p w14:paraId="066BA43A" w14:textId="77777777" w:rsidR="00010C43" w:rsidRPr="00FA0BF0" w:rsidRDefault="00010C43" w:rsidP="00693515">
      <w:pPr>
        <w:pBdr>
          <w:bottom w:val="single" w:sz="12" w:space="1" w:color="auto"/>
        </w:pBdr>
        <w:jc w:val="center"/>
        <w:rPr>
          <w:rFonts w:ascii="Book Antiqua" w:hAnsi="Book Antiqua"/>
          <w:b/>
          <w:iCs/>
          <w:sz w:val="20"/>
          <w:szCs w:val="20"/>
        </w:rPr>
      </w:pPr>
      <w:r w:rsidRPr="00FA0BF0">
        <w:rPr>
          <w:rFonts w:ascii="Book Antiqua" w:hAnsi="Book Antiqua"/>
          <w:b/>
          <w:iCs/>
          <w:sz w:val="20"/>
          <w:szCs w:val="20"/>
        </w:rPr>
        <w:t>KOMUNA JUNIK – OPSHTINA JUNIK– KOMUNA JUNIK</w:t>
      </w:r>
    </w:p>
    <w:p w14:paraId="6A880B6D" w14:textId="77777777" w:rsidR="00A77B4A" w:rsidRPr="008A1207" w:rsidRDefault="00A77B4A" w:rsidP="00A77B4A">
      <w:pPr>
        <w:rPr>
          <w:b/>
        </w:rPr>
      </w:pPr>
      <w:r w:rsidRPr="008A1207">
        <w:rPr>
          <w:b/>
        </w:rPr>
        <w:t xml:space="preserve">Nr. </w:t>
      </w:r>
      <w:r w:rsidR="00903424">
        <w:rPr>
          <w:b/>
        </w:rPr>
        <w:t>01/2025</w:t>
      </w:r>
    </w:p>
    <w:p w14:paraId="002B43F2" w14:textId="35C26C62" w:rsidR="00A77B4A" w:rsidRPr="008A1207" w:rsidRDefault="00A77B4A" w:rsidP="00A77B4A">
      <w:pPr>
        <w:rPr>
          <w:b/>
        </w:rPr>
      </w:pPr>
      <w:r w:rsidRPr="008A1207">
        <w:rPr>
          <w:b/>
        </w:rPr>
        <w:t xml:space="preserve">Data: </w:t>
      </w:r>
      <w:r w:rsidR="000A58DF">
        <w:rPr>
          <w:b/>
        </w:rPr>
        <w:t>15.0</w:t>
      </w:r>
      <w:r w:rsidR="000B4935">
        <w:rPr>
          <w:b/>
        </w:rPr>
        <w:t>7</w:t>
      </w:r>
      <w:r w:rsidR="000A58DF">
        <w:rPr>
          <w:b/>
        </w:rPr>
        <w:t>.2025</w:t>
      </w:r>
    </w:p>
    <w:p w14:paraId="16DA4B3F" w14:textId="77777777" w:rsidR="00A77B4A" w:rsidRPr="0099690D" w:rsidRDefault="00A77B4A" w:rsidP="00A77B4A">
      <w:pPr>
        <w:spacing w:after="200"/>
        <w:jc w:val="both"/>
        <w:rPr>
          <w:b/>
          <w:iCs/>
        </w:rPr>
      </w:pPr>
    </w:p>
    <w:p w14:paraId="4F85696F" w14:textId="7BE70F66" w:rsidR="00A77B4A" w:rsidRPr="0099690D" w:rsidRDefault="00A77B4A" w:rsidP="00A77B4A">
      <w:pPr>
        <w:spacing w:after="200"/>
        <w:jc w:val="both"/>
        <w:rPr>
          <w:b/>
        </w:rPr>
      </w:pPr>
      <w:r w:rsidRPr="0099690D">
        <w:rPr>
          <w:b/>
          <w:iCs/>
        </w:rPr>
        <w:t xml:space="preserve">Subjekti: </w:t>
      </w:r>
      <w:r w:rsidRPr="0099690D">
        <w:rPr>
          <w:iCs/>
        </w:rPr>
        <w:t xml:space="preserve">Thirrje për interes, për Kontratë shërbimi për Veprime të Jashtme, për të </w:t>
      </w:r>
      <w:r w:rsidRPr="0099690D">
        <w:t>mbështetur Komunën e Junikut në zbatimin e projektit</w:t>
      </w:r>
      <w:r w:rsidRPr="0099690D">
        <w:rPr>
          <w:b/>
          <w:color w:val="333333"/>
          <w:shd w:val="clear" w:color="auto" w:fill="FFFFFF"/>
        </w:rPr>
        <w:t> </w:t>
      </w:r>
      <w:r w:rsidRPr="0099690D">
        <w:rPr>
          <w:b/>
          <w:iCs/>
        </w:rPr>
        <w:t xml:space="preserve">" </w:t>
      </w:r>
      <w:r w:rsidR="000B4935">
        <w:rPr>
          <w:rFonts w:eastAsia="Calibri"/>
          <w:b/>
        </w:rPr>
        <w:t>EFFORT</w:t>
      </w:r>
      <w:r w:rsidRPr="0099690D">
        <w:rPr>
          <w:rFonts w:eastAsia="Calibri"/>
          <w:b/>
        </w:rPr>
        <w:t xml:space="preserve"> </w:t>
      </w:r>
      <w:r w:rsidRPr="0099690D">
        <w:rPr>
          <w:b/>
        </w:rPr>
        <w:t>".</w:t>
      </w:r>
    </w:p>
    <w:p w14:paraId="4C2A9C59" w14:textId="77777777" w:rsidR="00A77B4A" w:rsidRPr="0099690D" w:rsidRDefault="00A77B4A" w:rsidP="00F426F5">
      <w:pPr>
        <w:spacing w:after="200" w:line="300" w:lineRule="exact"/>
        <w:jc w:val="both"/>
        <w:rPr>
          <w:iCs/>
        </w:rPr>
      </w:pPr>
      <w:r w:rsidRPr="000A58DF">
        <w:rPr>
          <w:b/>
        </w:rPr>
        <w:t xml:space="preserve">Referenca e Projektit: </w:t>
      </w:r>
      <w:r w:rsidRPr="000A58DF">
        <w:rPr>
          <w:iCs/>
        </w:rPr>
        <w:t xml:space="preserve">Programi i Bashkëpunimit Ndërkufitar Shqipëri – Kosovë për vitet 2014-2020 në kuadër të Projektit “EFFORT” / </w:t>
      </w:r>
      <w:r w:rsidR="00F426F5" w:rsidRPr="00F426F5">
        <w:rPr>
          <w:rFonts w:eastAsia="Calibri"/>
          <w:bCs/>
        </w:rPr>
        <w:t xml:space="preserve">IPA/2023/450-172 </w:t>
      </w:r>
      <w:r w:rsidRPr="000A58DF">
        <w:rPr>
          <w:iCs/>
        </w:rPr>
        <w:t xml:space="preserve">Në kuadër të partneritetit në Projektin “EFFORT” </w:t>
      </w:r>
      <w:r w:rsidRPr="000A58DF">
        <w:rPr>
          <w:rFonts w:eastAsia="Calibri"/>
        </w:rPr>
        <w:t xml:space="preserve">/ </w:t>
      </w:r>
      <w:r w:rsidR="00F426F5" w:rsidRPr="00F426F5">
        <w:rPr>
          <w:rFonts w:eastAsia="Calibri"/>
          <w:bCs/>
        </w:rPr>
        <w:t xml:space="preserve">IPA/2023/450-172 të financuar nga Bashkimi Evropian në kuadër të Instrumentit për Ndihmë Para-Anëtarësimit (IPA). Në kuadër të </w:t>
      </w:r>
      <w:r w:rsidRPr="0099690D">
        <w:rPr>
          <w:iCs/>
        </w:rPr>
        <w:t>Programit të Bashkëpunimit Ndërkufitar Shqipëri – Kosovë për vitet 2014 – 2020, Bashkia e Junikut ka shpallur thirrjen për nevojat e tyre për veprime të jashtme:</w:t>
      </w:r>
    </w:p>
    <w:p w14:paraId="19BCEA43" w14:textId="77777777" w:rsidR="00FF1A1A" w:rsidRPr="0099690D" w:rsidRDefault="00FF1A1A" w:rsidP="00FF1A1A">
      <w:pPr>
        <w:shd w:val="clear" w:color="auto" w:fill="FFFFFF"/>
        <w:spacing w:before="100" w:beforeAutospacing="1"/>
        <w:jc w:val="both"/>
        <w:rPr>
          <w:rFonts w:ascii="Avenir" w:eastAsia="Calibri" w:hAnsi="Avenir" w:cs="Calibri"/>
          <w:b/>
          <w:kern w:val="2"/>
        </w:rPr>
      </w:pPr>
      <w:r w:rsidRPr="0099690D">
        <w:rPr>
          <w:rFonts w:ascii="Avenir" w:eastAsia="Calibri" w:hAnsi="Avenir" w:cs="Calibri"/>
          <w:b/>
          <w:kern w:val="2"/>
        </w:rPr>
        <w:t>Hartimi i raporteve të detajuara, projekteve të detajuara dhe specifikimeve teknike, mbikëqyrja e punimeve të ndërtimit, vënia në punë duke përfshirë mbikëqyrjen në adresimin e defekteve gjatë periudhës së garancisë së punimeve, për zbatimin e masave të EE-së dhe prodhimin e energjisë së rinovueshme në ndërtesat komunale të përmendura, si dhe hartimi i termave të referencës (TOR) për zbatimin e projektit.</w:t>
      </w:r>
    </w:p>
    <w:p w14:paraId="7F73BD57" w14:textId="77777777" w:rsidR="00A77B4A" w:rsidRPr="00A77B4A" w:rsidRDefault="00A77B4A" w:rsidP="00A77B4A">
      <w:pPr>
        <w:shd w:val="clear" w:color="auto" w:fill="FFFFFF"/>
        <w:spacing w:before="100" w:beforeAutospacing="1"/>
        <w:rPr>
          <w:lang w:val="en-US"/>
        </w:rPr>
      </w:pPr>
      <w:r w:rsidRPr="000A58DF">
        <w:t xml:space="preserve">Dosja e plotë e tenderit është bashkëngjitur kësaj thirrjeje për propozim. </w:t>
      </w:r>
      <w:r w:rsidRPr="00A77B4A">
        <w:rPr>
          <w:lang w:val="en-US"/>
        </w:rPr>
        <w:t>Ajo përfshin:</w:t>
      </w:r>
    </w:p>
    <w:p w14:paraId="1633AADE" w14:textId="77777777" w:rsidR="00A77B4A" w:rsidRPr="00A77B4A" w:rsidRDefault="00A77B4A" w:rsidP="00A77B4A">
      <w:pPr>
        <w:numPr>
          <w:ilvl w:val="0"/>
          <w:numId w:val="16"/>
        </w:numPr>
        <w:spacing w:after="200" w:line="276" w:lineRule="auto"/>
        <w:contextualSpacing/>
        <w:jc w:val="both"/>
        <w:rPr>
          <w:lang w:val="en-US"/>
        </w:rPr>
      </w:pPr>
      <w:r w:rsidRPr="00A77B4A">
        <w:rPr>
          <w:lang w:val="en-US"/>
        </w:rPr>
        <w:t>Udhëzime për ofertuesit dhe njoftimi i kontratës</w:t>
      </w:r>
    </w:p>
    <w:p w14:paraId="572ECEA7" w14:textId="77777777" w:rsidR="00797FE3" w:rsidRDefault="00A77B4A" w:rsidP="00797FE3">
      <w:pPr>
        <w:numPr>
          <w:ilvl w:val="0"/>
          <w:numId w:val="16"/>
        </w:numPr>
        <w:spacing w:after="200" w:line="276" w:lineRule="auto"/>
        <w:contextualSpacing/>
        <w:jc w:val="both"/>
        <w:rPr>
          <w:lang w:val="en-US"/>
        </w:rPr>
      </w:pPr>
      <w:r w:rsidRPr="00797FE3">
        <w:rPr>
          <w:lang w:val="en-US"/>
        </w:rPr>
        <w:t>Draft-Marrëveshja e Kontratës dhe Kushtet e Veçanta me shtojca:</w:t>
      </w:r>
    </w:p>
    <w:p w14:paraId="39BACBDD" w14:textId="77777777" w:rsidR="00A77B4A" w:rsidRPr="00797FE3" w:rsidRDefault="00A77B4A" w:rsidP="00797FE3">
      <w:pPr>
        <w:numPr>
          <w:ilvl w:val="0"/>
          <w:numId w:val="16"/>
        </w:numPr>
        <w:spacing w:after="200" w:line="276" w:lineRule="auto"/>
        <w:contextualSpacing/>
        <w:jc w:val="both"/>
        <w:rPr>
          <w:lang w:val="en-US"/>
        </w:rPr>
      </w:pPr>
      <w:r w:rsidRPr="00797FE3">
        <w:rPr>
          <w:lang w:val="en-US"/>
        </w:rPr>
        <w:t>Kushtet e Përgjithshme për kontratat e shërbimit</w:t>
      </w:r>
    </w:p>
    <w:p w14:paraId="4E2BA60A" w14:textId="77777777" w:rsidR="00A77B4A" w:rsidRPr="00A77B4A" w:rsidRDefault="00A77B4A" w:rsidP="00A77B4A">
      <w:pPr>
        <w:numPr>
          <w:ilvl w:val="0"/>
          <w:numId w:val="16"/>
        </w:numPr>
        <w:spacing w:after="200" w:line="276" w:lineRule="auto"/>
        <w:contextualSpacing/>
        <w:jc w:val="both"/>
        <w:rPr>
          <w:lang w:val="en-US"/>
        </w:rPr>
      </w:pPr>
      <w:r w:rsidRPr="00A77B4A">
        <w:rPr>
          <w:lang w:val="en-US"/>
        </w:rPr>
        <w:t>Termat e Referencës</w:t>
      </w:r>
    </w:p>
    <w:p w14:paraId="7B8DB5C8" w14:textId="77777777" w:rsidR="00A77B4A" w:rsidRPr="00A77B4A" w:rsidRDefault="00A77B4A" w:rsidP="00A77B4A">
      <w:pPr>
        <w:numPr>
          <w:ilvl w:val="0"/>
          <w:numId w:val="16"/>
        </w:numPr>
        <w:spacing w:after="200" w:line="276" w:lineRule="auto"/>
        <w:contextualSpacing/>
        <w:jc w:val="both"/>
        <w:rPr>
          <w:lang w:val="en-US"/>
        </w:rPr>
      </w:pPr>
      <w:r w:rsidRPr="00A77B4A">
        <w:rPr>
          <w:lang w:val="en-US"/>
        </w:rPr>
        <w:t>Buxheti (që duhet të dorëzohet nga ofertuesi si ofertë financiare duke përdorur modelin e dhënë)</w:t>
      </w:r>
    </w:p>
    <w:p w14:paraId="0683A5EE" w14:textId="77777777" w:rsidR="00877277" w:rsidRDefault="00877277" w:rsidP="00A77B4A">
      <w:pPr>
        <w:spacing w:after="200" w:line="276" w:lineRule="auto"/>
        <w:jc w:val="both"/>
        <w:rPr>
          <w:lang w:val="en-US"/>
        </w:rPr>
      </w:pPr>
    </w:p>
    <w:p w14:paraId="03816113" w14:textId="77777777" w:rsidR="00877277" w:rsidRPr="002B370E" w:rsidRDefault="00877277" w:rsidP="00877277">
      <w:pPr>
        <w:keepNext/>
        <w:numPr>
          <w:ilvl w:val="0"/>
          <w:numId w:val="20"/>
        </w:numPr>
        <w:spacing w:before="120" w:after="120"/>
        <w:jc w:val="both"/>
        <w:rPr>
          <w:b/>
        </w:rPr>
      </w:pPr>
      <w:bookmarkStart w:id="0" w:name="_Ref499615030"/>
      <w:r w:rsidRPr="002B370E">
        <w:rPr>
          <w:b/>
        </w:rPr>
        <w:t>Pjesëmarrja, ekspertët dhe nënkontraktimi</w:t>
      </w:r>
      <w:bookmarkEnd w:id="0"/>
    </w:p>
    <w:p w14:paraId="1575BF91" w14:textId="77777777" w:rsidR="00797FE3" w:rsidRPr="00A1520C" w:rsidRDefault="00797FE3" w:rsidP="00797FE3">
      <w:pPr>
        <w:pStyle w:val="BodyText"/>
        <w:numPr>
          <w:ilvl w:val="0"/>
          <w:numId w:val="21"/>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Pjesëmarrja në këtë procedurë tenderimi është e hapur për të gjithë personat juridikë që </w:t>
      </w:r>
      <w:r w:rsidRPr="00A1520C">
        <w:rPr>
          <w:sz w:val="22"/>
          <w:szCs w:val="22"/>
        </w:rPr>
        <w:t>plotësojnë kriteret e mësipërme:</w:t>
      </w:r>
    </w:p>
    <w:p w14:paraId="6142D0DA" w14:textId="77777777" w:rsidR="00797FE3" w:rsidRDefault="00797FE3" w:rsidP="00797FE3">
      <w:pPr>
        <w:pStyle w:val="BodyText"/>
        <w:numPr>
          <w:ilvl w:val="0"/>
          <w:numId w:val="2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Pr>
          <w:sz w:val="22"/>
          <w:szCs w:val="22"/>
        </w:rPr>
        <w:t>Të mbajë licencat përkatëse për përgatitjen e auditimeve të EE-së të zbatueshme në përputhje me ligjet lokale.</w:t>
      </w:r>
    </w:p>
    <w:p w14:paraId="5B53175B" w14:textId="77777777" w:rsidR="00797FE3" w:rsidRDefault="00797FE3" w:rsidP="00797FE3">
      <w:pPr>
        <w:pStyle w:val="BodyText"/>
        <w:numPr>
          <w:ilvl w:val="0"/>
          <w:numId w:val="2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A1520C">
        <w:rPr>
          <w:sz w:val="22"/>
          <w:szCs w:val="22"/>
        </w:rPr>
        <w:t>Të ketë të paktën 10-10 vjet përvojë pune relevante në këtë fushë</w:t>
      </w:r>
    </w:p>
    <w:p w14:paraId="1DB3E7EF" w14:textId="77777777" w:rsidR="00797FE3" w:rsidRDefault="00797FE3" w:rsidP="00797FE3">
      <w:pPr>
        <w:numPr>
          <w:ilvl w:val="0"/>
          <w:numId w:val="22"/>
        </w:numPr>
        <w:rPr>
          <w:sz w:val="22"/>
          <w:szCs w:val="22"/>
          <w:lang w:val="en-GB" w:eastAsia="en-GB"/>
        </w:rPr>
      </w:pPr>
      <w:r>
        <w:rPr>
          <w:sz w:val="22"/>
          <w:szCs w:val="22"/>
          <w:lang w:val="en-GB" w:eastAsia="en-GB"/>
        </w:rPr>
        <w:t xml:space="preserve">Të jetë i regjistruar në regjistrin përkatës profesional ose tregtar në Republikën </w:t>
      </w:r>
      <w:r w:rsidRPr="00730B52">
        <w:rPr>
          <w:sz w:val="22"/>
          <w:szCs w:val="22"/>
          <w:lang w:val="en-GB" w:eastAsia="en-GB"/>
        </w:rPr>
        <w:t>e Kosovës.</w:t>
      </w:r>
    </w:p>
    <w:p w14:paraId="19D5888E" w14:textId="77777777" w:rsidR="00797FE3" w:rsidRDefault="00797FE3" w:rsidP="00797FE3">
      <w:pPr>
        <w:numPr>
          <w:ilvl w:val="0"/>
          <w:numId w:val="22"/>
        </w:numPr>
        <w:rPr>
          <w:sz w:val="22"/>
          <w:szCs w:val="22"/>
          <w:lang w:val="en-GB" w:eastAsia="en-GB"/>
        </w:rPr>
      </w:pPr>
      <w:r w:rsidRPr="00730B52">
        <w:rPr>
          <w:sz w:val="22"/>
          <w:szCs w:val="22"/>
          <w:lang w:val="en-GB" w:eastAsia="en-GB"/>
        </w:rPr>
        <w:t xml:space="preserve">Menaxheri i projektit duhet të ketë të paktën 7 vjet përvojë pune në menaxhimin e kontratave për auditime energjie dhe rinovim të ndërtesave publike për kursimin e energjisë, duhet të jetë inxhinier arkitekturor me diplomë master në efiçiencë energjie dhe i licencuar si auditor energjie në ndërtesa, duhet të ketë qenë menaxher i të paktën dy kontratave publike për menaxhimin e projekteve për rinovimin e ndërtesave publike </w:t>
      </w:r>
      <w:r w:rsidRPr="00730B52">
        <w:rPr>
          <w:sz w:val="22"/>
          <w:szCs w:val="22"/>
          <w:lang w:val="en-GB" w:eastAsia="en-GB"/>
        </w:rPr>
        <w:lastRenderedPageBreak/>
        <w:t>ku kontrata kishte të paktën 5 ndërtesa për rinovim. Duhet të jetë i çertifikuar në përdorimin e një kamere termike, duhet të jetë i çertifikuar në inspektimin e kaldajave/kaldajave. Duhet të ketë përvojë në zbatimin e kontratave ndërkombëtare për efikasitetin e energjisë.</w:t>
      </w:r>
    </w:p>
    <w:p w14:paraId="2FE46310" w14:textId="77777777" w:rsidR="00797FE3" w:rsidRPr="005C5D04" w:rsidRDefault="00797FE3" w:rsidP="00797FE3">
      <w:pPr>
        <w:numPr>
          <w:ilvl w:val="0"/>
          <w:numId w:val="22"/>
        </w:numPr>
        <w:rPr>
          <w:sz w:val="22"/>
          <w:szCs w:val="22"/>
          <w:lang w:val="en-GB" w:eastAsia="en-GB"/>
        </w:rPr>
      </w:pPr>
      <w:r w:rsidRPr="005C5D04">
        <w:rPr>
          <w:sz w:val="22"/>
          <w:szCs w:val="22"/>
          <w:lang w:val="en-GB" w:eastAsia="en-GB"/>
        </w:rPr>
        <w:t>Një inxhinier arkitekturor, master në efikasitet energjetik ose burime të rinovueshme me të paktën 5 vjet përvojë pune në projektimin e ndërtesave të reja ose rinovimet për ndërtesa publike ku pas rinovimit do të ketë një ulje të kostove të energjisë.</w:t>
      </w:r>
    </w:p>
    <w:p w14:paraId="67B92E7B" w14:textId="77777777" w:rsidR="00797FE3" w:rsidRPr="005C5D04" w:rsidRDefault="00797FE3" w:rsidP="00797FE3">
      <w:pPr>
        <w:ind w:left="933"/>
        <w:rPr>
          <w:sz w:val="22"/>
          <w:szCs w:val="22"/>
          <w:lang w:val="en-GB" w:eastAsia="en-GB"/>
        </w:rPr>
      </w:pPr>
    </w:p>
    <w:p w14:paraId="46392470" w14:textId="77777777" w:rsidR="00797FE3" w:rsidRPr="005C5D04" w:rsidRDefault="00797FE3" w:rsidP="00797FE3">
      <w:pPr>
        <w:numPr>
          <w:ilvl w:val="0"/>
          <w:numId w:val="22"/>
        </w:numPr>
        <w:rPr>
          <w:sz w:val="22"/>
          <w:szCs w:val="22"/>
          <w:lang w:val="en-GB" w:eastAsia="en-GB"/>
        </w:rPr>
      </w:pPr>
      <w:r w:rsidRPr="005C5D04">
        <w:rPr>
          <w:sz w:val="22"/>
          <w:szCs w:val="22"/>
          <w:lang w:val="en-GB" w:eastAsia="en-GB"/>
        </w:rPr>
        <w:t>Një ekspert i inxhinierisë elektrike, me diplomë masteri në efikasitet energjetik ose burime të rinovueshme, auditor energjie me të paktën 5 vjet përvojë pune në projekte rinovimi për ndërtesa publike ku pas rinovimit do të ketë një ulje të kostove të energjisë.</w:t>
      </w:r>
    </w:p>
    <w:p w14:paraId="1937AAEA" w14:textId="77777777" w:rsidR="00797FE3" w:rsidRPr="005C5D04" w:rsidRDefault="00797FE3" w:rsidP="00797FE3">
      <w:pPr>
        <w:ind w:left="933"/>
        <w:rPr>
          <w:sz w:val="22"/>
          <w:szCs w:val="22"/>
          <w:lang w:val="en-GB" w:eastAsia="en-GB"/>
        </w:rPr>
      </w:pPr>
    </w:p>
    <w:p w14:paraId="07A49EC4" w14:textId="77777777" w:rsidR="00797FE3" w:rsidRPr="005C5D04" w:rsidRDefault="00797FE3" w:rsidP="00797FE3">
      <w:pPr>
        <w:numPr>
          <w:ilvl w:val="0"/>
          <w:numId w:val="22"/>
        </w:numPr>
        <w:rPr>
          <w:sz w:val="22"/>
          <w:szCs w:val="22"/>
          <w:lang w:val="en-GB" w:eastAsia="en-GB"/>
        </w:rPr>
      </w:pPr>
      <w:r w:rsidRPr="005C5D04">
        <w:rPr>
          <w:sz w:val="22"/>
          <w:szCs w:val="22"/>
          <w:lang w:val="en-GB" w:eastAsia="en-GB"/>
        </w:rPr>
        <w:t>Një inxhinier mekanik, me diplomë masteri, auditor energjie me të paktën 5 vjet përvojë pune në projekte rinovimi për ndërtesa publike ku pas rinovimit do të ketë një ulje të kostove të energjisë. Të jetë i certifikuar për inspektimin e bojlerëve.</w:t>
      </w:r>
    </w:p>
    <w:p w14:paraId="516B6AD1" w14:textId="77777777" w:rsidR="00797FE3" w:rsidRPr="005C5D04" w:rsidRDefault="00797FE3" w:rsidP="00797FE3">
      <w:pPr>
        <w:ind w:left="933"/>
        <w:rPr>
          <w:sz w:val="22"/>
          <w:szCs w:val="22"/>
          <w:lang w:val="en-GB" w:eastAsia="en-GB"/>
        </w:rPr>
      </w:pPr>
    </w:p>
    <w:p w14:paraId="20EDB4CF" w14:textId="77777777" w:rsidR="00797FE3" w:rsidRPr="005C5D04" w:rsidRDefault="00797FE3" w:rsidP="00797FE3">
      <w:pPr>
        <w:numPr>
          <w:ilvl w:val="0"/>
          <w:numId w:val="22"/>
        </w:numPr>
        <w:rPr>
          <w:sz w:val="22"/>
          <w:szCs w:val="22"/>
          <w:lang w:val="en-GB" w:eastAsia="en-GB"/>
        </w:rPr>
      </w:pPr>
      <w:r w:rsidRPr="005C5D04">
        <w:rPr>
          <w:sz w:val="22"/>
          <w:szCs w:val="22"/>
          <w:lang w:val="en-GB" w:eastAsia="en-GB"/>
        </w:rPr>
        <w:t>Një ekspert mjedisor, me diplomë masteri në inxhinieri mjedisore, me të paktën 3 vjet përvojë pune në projekte të efikasitetit të energjisë.</w:t>
      </w:r>
    </w:p>
    <w:p w14:paraId="5A3E3DB8" w14:textId="77777777" w:rsidR="00797FE3" w:rsidRPr="005C5D04" w:rsidRDefault="00797FE3" w:rsidP="00797FE3">
      <w:pPr>
        <w:ind w:left="933"/>
        <w:rPr>
          <w:sz w:val="22"/>
          <w:szCs w:val="22"/>
          <w:lang w:val="en-GB" w:eastAsia="en-GB"/>
        </w:rPr>
      </w:pPr>
    </w:p>
    <w:p w14:paraId="20D2917D" w14:textId="77777777" w:rsidR="00797FE3" w:rsidRPr="005C5D04" w:rsidRDefault="00797FE3" w:rsidP="00797FE3">
      <w:pPr>
        <w:numPr>
          <w:ilvl w:val="0"/>
          <w:numId w:val="22"/>
        </w:numPr>
        <w:rPr>
          <w:sz w:val="22"/>
          <w:szCs w:val="22"/>
          <w:lang w:val="en-GB" w:eastAsia="en-GB"/>
        </w:rPr>
      </w:pPr>
      <w:r w:rsidRPr="005C5D04">
        <w:rPr>
          <w:sz w:val="22"/>
          <w:szCs w:val="22"/>
          <w:lang w:val="en-GB" w:eastAsia="en-GB"/>
        </w:rPr>
        <w:t>Kompania duhet të zotërojë një kamerë termike për inspektimin e ndërtesës ose të ketë një kontratë për përdorim.</w:t>
      </w:r>
    </w:p>
    <w:p w14:paraId="4924337D" w14:textId="77777777" w:rsidR="00797FE3" w:rsidRPr="005C5D04" w:rsidRDefault="00797FE3" w:rsidP="00797FE3">
      <w:pPr>
        <w:ind w:left="933"/>
        <w:rPr>
          <w:sz w:val="22"/>
          <w:szCs w:val="22"/>
          <w:lang w:val="en-GB" w:eastAsia="en-GB"/>
        </w:rPr>
      </w:pPr>
    </w:p>
    <w:p w14:paraId="0CD81C67" w14:textId="77777777" w:rsidR="00797FE3" w:rsidRPr="005C5D04" w:rsidRDefault="00797FE3" w:rsidP="00797FE3">
      <w:pPr>
        <w:numPr>
          <w:ilvl w:val="0"/>
          <w:numId w:val="22"/>
        </w:numPr>
        <w:rPr>
          <w:sz w:val="22"/>
          <w:szCs w:val="22"/>
          <w:lang w:val="en-GB" w:eastAsia="en-GB"/>
        </w:rPr>
      </w:pPr>
      <w:r w:rsidRPr="005C5D04">
        <w:rPr>
          <w:sz w:val="22"/>
          <w:szCs w:val="22"/>
          <w:lang w:val="en-GB" w:eastAsia="en-GB"/>
        </w:rPr>
        <w:t>Kompania duhet të ketë një analizues gazi Testo 315-3 ose të ngjashme, ose të keni një kontratë për përdorim.</w:t>
      </w:r>
    </w:p>
    <w:p w14:paraId="59C654A9" w14:textId="77777777" w:rsidR="00797FE3" w:rsidRPr="005C5D04" w:rsidRDefault="00797FE3" w:rsidP="00797FE3">
      <w:pPr>
        <w:ind w:left="573"/>
        <w:rPr>
          <w:sz w:val="22"/>
          <w:szCs w:val="22"/>
          <w:lang w:val="en-GB" w:eastAsia="en-GB"/>
        </w:rPr>
      </w:pPr>
    </w:p>
    <w:p w14:paraId="28AACEE8" w14:textId="77777777" w:rsidR="00797FE3" w:rsidRPr="00730B52" w:rsidRDefault="00797FE3" w:rsidP="00797FE3">
      <w:pPr>
        <w:numPr>
          <w:ilvl w:val="0"/>
          <w:numId w:val="22"/>
        </w:numPr>
        <w:rPr>
          <w:sz w:val="22"/>
          <w:szCs w:val="22"/>
          <w:lang w:val="en-GB" w:eastAsia="en-GB"/>
        </w:rPr>
      </w:pPr>
      <w:r w:rsidRPr="005C5D04">
        <w:rPr>
          <w:sz w:val="22"/>
          <w:szCs w:val="22"/>
          <w:lang w:val="en-GB" w:eastAsia="en-GB"/>
        </w:rPr>
        <w:t>Kompania duhet të zotërojë të paktën 5 Regjistrues të të Dhënave për matjen e temperaturës dhe lagështisë së ajrit nga prodhuesi Testo 174-H ose i ngjashëm, ose të ketë një kontratë për përdorim.</w:t>
      </w:r>
    </w:p>
    <w:p w14:paraId="3BD06942" w14:textId="77777777" w:rsidR="00797FE3" w:rsidRDefault="00797FE3" w:rsidP="00797FE3">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jc w:val="both"/>
        <w:rPr>
          <w:sz w:val="22"/>
          <w:szCs w:val="22"/>
        </w:rPr>
      </w:pPr>
      <w:r>
        <w:rPr>
          <w:sz w:val="22"/>
          <w:szCs w:val="22"/>
        </w:rPr>
        <w:t>Përveç kësaj:</w:t>
      </w:r>
    </w:p>
    <w:p w14:paraId="4562CDB0" w14:textId="77777777" w:rsidR="00797FE3" w:rsidRDefault="00797FE3" w:rsidP="00797FE3">
      <w:pPr>
        <w:pStyle w:val="BodyText"/>
        <w:numPr>
          <w:ilvl w:val="0"/>
          <w:numId w:val="2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D730E6">
        <w:rPr>
          <w:sz w:val="22"/>
          <w:szCs w:val="22"/>
        </w:rPr>
        <w:t>Përvoja e mëparshme me organizata ose institucione ndërkombëtare ose lokale dhe/ose me projekte të financuara nga BE-ja ose donatorë të tjerë do të jetë një avantazh.</w:t>
      </w:r>
    </w:p>
    <w:p w14:paraId="7A79A210" w14:textId="77777777" w:rsidR="00797FE3" w:rsidRDefault="00797FE3" w:rsidP="00797FE3">
      <w:pPr>
        <w:pStyle w:val="BodyText"/>
        <w:numPr>
          <w:ilvl w:val="0"/>
          <w:numId w:val="2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A1520C">
        <w:rPr>
          <w:sz w:val="22"/>
          <w:szCs w:val="22"/>
        </w:rPr>
        <w:t>Aftësi të mira koordinimi dhe ndjenjë të lartë përgjegjësie (deri në dy letra referimi).</w:t>
      </w:r>
    </w:p>
    <w:p w14:paraId="274B4ACE" w14:textId="77777777" w:rsidR="00797FE3" w:rsidRPr="00877277" w:rsidRDefault="00797FE3" w:rsidP="00797FE3">
      <w:pPr>
        <w:pStyle w:val="BodyText"/>
        <w:numPr>
          <w:ilvl w:val="0"/>
          <w:numId w:val="21"/>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877277">
        <w:rPr>
          <w:sz w:val="22"/>
          <w:szCs w:val="22"/>
        </w:rPr>
        <w:t xml:space="preserve">Për qëllim të zbatimit të kontratës, </w:t>
      </w:r>
      <w:r w:rsidR="0099690D">
        <w:rPr>
          <w:sz w:val="22"/>
          <w:szCs w:val="22"/>
        </w:rPr>
        <w:t xml:space="preserve">nuk </w:t>
      </w:r>
      <w:r w:rsidRPr="00877277">
        <w:rPr>
          <w:sz w:val="22"/>
          <w:szCs w:val="22"/>
        </w:rPr>
        <w:t xml:space="preserve">lejohet </w:t>
      </w:r>
      <w:r w:rsidR="0099690D" w:rsidRPr="00877277">
        <w:rPr>
          <w:sz w:val="22"/>
          <w:szCs w:val="22"/>
        </w:rPr>
        <w:t>nën kontraktimi</w:t>
      </w:r>
      <w:r w:rsidRPr="00877277">
        <w:rPr>
          <w:sz w:val="22"/>
          <w:szCs w:val="22"/>
        </w:rPr>
        <w:t>.</w:t>
      </w:r>
    </w:p>
    <w:p w14:paraId="0E819895" w14:textId="77777777" w:rsidR="00797FE3" w:rsidRPr="0099690D" w:rsidRDefault="00797FE3" w:rsidP="00797FE3">
      <w:pPr>
        <w:spacing w:after="200" w:line="276" w:lineRule="auto"/>
        <w:jc w:val="both"/>
        <w:rPr>
          <w:b/>
        </w:rPr>
      </w:pPr>
      <w:r w:rsidRPr="0099690D">
        <w:t xml:space="preserve">Oferta duhet të përfshijë një ofertë teknike dhe një ofertë financiare, të cilat duhet të dorëzohen në zarfe të veçanta. Çdo ofertë teknike dhe ofertë financiare duhet të përmbajë një origjinal, të shënuar qartë </w:t>
      </w:r>
      <w:r w:rsidRPr="0099690D">
        <w:rPr>
          <w:b/>
        </w:rPr>
        <w:t xml:space="preserve">'Origjinali' </w:t>
      </w:r>
      <w:r w:rsidRPr="0099690D">
        <w:t xml:space="preserve">, dhe 3 kopje, secila e shënuar ' </w:t>
      </w:r>
      <w:r w:rsidRPr="0099690D">
        <w:rPr>
          <w:b/>
        </w:rPr>
        <w:t>Kopje'.</w:t>
      </w:r>
    </w:p>
    <w:p w14:paraId="1CC73425" w14:textId="77777777" w:rsidR="00797FE3" w:rsidRPr="002B370E" w:rsidRDefault="00797FE3" w:rsidP="00797FE3">
      <w:pPr>
        <w:widowControl w:val="0"/>
        <w:spacing w:before="120" w:after="120"/>
        <w:ind w:left="567" w:hanging="567"/>
        <w:jc w:val="both"/>
        <w:rPr>
          <w:b/>
          <w:sz w:val="22"/>
          <w:szCs w:val="22"/>
        </w:rPr>
      </w:pPr>
      <w:r w:rsidRPr="002B370E">
        <w:rPr>
          <w:b/>
          <w:sz w:val="22"/>
          <w:szCs w:val="22"/>
        </w:rPr>
        <w:t>Oferta teknike</w:t>
      </w:r>
    </w:p>
    <w:p w14:paraId="212822C5" w14:textId="77777777" w:rsidR="00797FE3" w:rsidRDefault="00797FE3" w:rsidP="00797FE3">
      <w:pPr>
        <w:widowControl w:val="0"/>
        <w:spacing w:before="120" w:after="120"/>
        <w:jc w:val="both"/>
        <w:rPr>
          <w:sz w:val="22"/>
          <w:szCs w:val="22"/>
        </w:rPr>
      </w:pPr>
      <w:r w:rsidRPr="002B370E">
        <w:rPr>
          <w:sz w:val="22"/>
          <w:szCs w:val="22"/>
        </w:rPr>
        <w:t>Oferta Teknike përbëhet nga dokumentet e listuara më poshtë.</w:t>
      </w:r>
    </w:p>
    <w:p w14:paraId="1BCAA34E" w14:textId="77777777" w:rsidR="00797FE3" w:rsidRPr="00FA348C" w:rsidRDefault="00797FE3" w:rsidP="00797FE3">
      <w:pPr>
        <w:widowControl w:val="0"/>
        <w:spacing w:before="120" w:after="120"/>
        <w:jc w:val="both"/>
        <w:rPr>
          <w:b/>
          <w:sz w:val="22"/>
          <w:szCs w:val="22"/>
        </w:rPr>
      </w:pPr>
      <w:r w:rsidRPr="00FA348C">
        <w:rPr>
          <w:b/>
          <w:sz w:val="22"/>
          <w:szCs w:val="22"/>
        </w:rPr>
        <w:t>(a) dokumente administrative</w:t>
      </w:r>
    </w:p>
    <w:p w14:paraId="47E7A29B" w14:textId="77777777" w:rsidR="00797FE3" w:rsidRDefault="00797FE3" w:rsidP="00797FE3">
      <w:pPr>
        <w:pStyle w:val="ListParagraph"/>
        <w:widowControl w:val="0"/>
        <w:numPr>
          <w:ilvl w:val="0"/>
          <w:numId w:val="24"/>
        </w:numPr>
        <w:spacing w:before="120" w:after="120"/>
        <w:contextualSpacing/>
        <w:jc w:val="both"/>
        <w:rPr>
          <w:sz w:val="22"/>
          <w:szCs w:val="22"/>
        </w:rPr>
      </w:pPr>
      <w:r w:rsidRPr="001F49DA">
        <w:rPr>
          <w:sz w:val="22"/>
          <w:szCs w:val="22"/>
        </w:rPr>
        <w:t>CV-ja e aplikantit në formatin e BE-së, që tregon përvojën e mëparshme siç kërkohet në Termat e Punës.</w:t>
      </w:r>
    </w:p>
    <w:p w14:paraId="1C55E1C9" w14:textId="77777777" w:rsidR="00797FE3" w:rsidRPr="00B07DB3" w:rsidRDefault="00797FE3" w:rsidP="00797FE3">
      <w:pPr>
        <w:pStyle w:val="ListParagraph"/>
        <w:widowControl w:val="0"/>
        <w:numPr>
          <w:ilvl w:val="0"/>
          <w:numId w:val="24"/>
        </w:numPr>
        <w:spacing w:before="120" w:after="120"/>
        <w:contextualSpacing/>
        <w:jc w:val="both"/>
        <w:rPr>
          <w:sz w:val="22"/>
          <w:szCs w:val="22"/>
        </w:rPr>
      </w:pPr>
      <w:r w:rsidRPr="00B07DB3">
        <w:rPr>
          <w:sz w:val="22"/>
          <w:szCs w:val="22"/>
        </w:rPr>
        <w:t>Certifikatë Regjistrimi Biznesi – ARBK</w:t>
      </w:r>
    </w:p>
    <w:p w14:paraId="25C3AED1" w14:textId="77777777" w:rsidR="00797FE3" w:rsidRDefault="00797FE3" w:rsidP="00797FE3">
      <w:pPr>
        <w:pStyle w:val="ListParagraph"/>
        <w:widowControl w:val="0"/>
        <w:numPr>
          <w:ilvl w:val="0"/>
          <w:numId w:val="24"/>
        </w:numPr>
        <w:spacing w:before="120" w:after="120"/>
        <w:contextualSpacing/>
        <w:jc w:val="both"/>
        <w:rPr>
          <w:sz w:val="22"/>
          <w:szCs w:val="22"/>
        </w:rPr>
      </w:pPr>
      <w:r>
        <w:rPr>
          <w:sz w:val="22"/>
          <w:szCs w:val="22"/>
        </w:rPr>
        <w:t>Një kopje e licencës së projektimit në fushën e prodhimit ose auditimit të energjisë përbën (nëse ka)</w:t>
      </w:r>
    </w:p>
    <w:p w14:paraId="5F1656C0" w14:textId="77777777" w:rsidR="00797FE3" w:rsidRDefault="00797FE3" w:rsidP="00797FE3">
      <w:pPr>
        <w:pStyle w:val="ListParagraph"/>
        <w:widowControl w:val="0"/>
        <w:numPr>
          <w:ilvl w:val="0"/>
          <w:numId w:val="24"/>
        </w:numPr>
        <w:spacing w:before="120" w:after="120"/>
        <w:contextualSpacing/>
        <w:jc w:val="both"/>
        <w:rPr>
          <w:sz w:val="22"/>
          <w:szCs w:val="22"/>
        </w:rPr>
      </w:pPr>
      <w:r>
        <w:rPr>
          <w:sz w:val="22"/>
          <w:szCs w:val="22"/>
        </w:rPr>
        <w:t>Dëshmi për posedimin e pajisjeve tekniko-profesionale për kryerjen e auditimeve energjetike.</w:t>
      </w:r>
    </w:p>
    <w:p w14:paraId="770AE0E2" w14:textId="77777777" w:rsidR="00797FE3" w:rsidRDefault="00797FE3" w:rsidP="00797FE3">
      <w:pPr>
        <w:widowControl w:val="0"/>
        <w:numPr>
          <w:ilvl w:val="0"/>
          <w:numId w:val="24"/>
        </w:numPr>
        <w:spacing w:before="120" w:after="120"/>
        <w:jc w:val="both"/>
        <w:rPr>
          <w:sz w:val="22"/>
          <w:szCs w:val="22"/>
        </w:rPr>
      </w:pPr>
      <w:r w:rsidRPr="00B302CF">
        <w:rPr>
          <w:sz w:val="22"/>
          <w:szCs w:val="22"/>
        </w:rPr>
        <w:t>Kopje të Diplomave, Certifikatave dhe Letrave të Referencës që mbështesin përvojën dhe kualifikimet e deklaruara në CV.</w:t>
      </w:r>
    </w:p>
    <w:p w14:paraId="776235D5" w14:textId="77777777" w:rsidR="00797FE3" w:rsidRDefault="00797FE3" w:rsidP="00797FE3">
      <w:pPr>
        <w:widowControl w:val="0"/>
        <w:spacing w:before="120" w:after="120"/>
        <w:jc w:val="both"/>
        <w:rPr>
          <w:sz w:val="22"/>
          <w:szCs w:val="22"/>
        </w:rPr>
      </w:pPr>
      <w:r>
        <w:rPr>
          <w:sz w:val="22"/>
          <w:szCs w:val="22"/>
        </w:rPr>
        <w:lastRenderedPageBreak/>
        <w:t>Dokumentet e listuara në pikën 1 deri në pikën 5 duhet të dorëzohen brenda afatit të fundit për dorëzimin e ofertave.</w:t>
      </w:r>
    </w:p>
    <w:p w14:paraId="0DB836C6" w14:textId="77777777" w:rsidR="00877277" w:rsidRPr="00B302CF" w:rsidRDefault="00877277" w:rsidP="00877277">
      <w:pPr>
        <w:widowControl w:val="0"/>
        <w:spacing w:before="120" w:after="120"/>
        <w:ind w:left="1080"/>
        <w:jc w:val="both"/>
        <w:rPr>
          <w:sz w:val="22"/>
          <w:szCs w:val="22"/>
        </w:rPr>
      </w:pPr>
    </w:p>
    <w:p w14:paraId="6F1A1049" w14:textId="77777777" w:rsidR="00877277" w:rsidRPr="002B370E" w:rsidRDefault="00877277" w:rsidP="00877277">
      <w:pPr>
        <w:spacing w:before="120" w:after="120"/>
        <w:jc w:val="both"/>
        <w:rPr>
          <w:sz w:val="22"/>
          <w:szCs w:val="22"/>
        </w:rPr>
      </w:pPr>
      <w:r>
        <w:rPr>
          <w:b/>
          <w:sz w:val="22"/>
          <w:szCs w:val="22"/>
        </w:rPr>
        <w:t xml:space="preserve">(b) Organizimi dhe metodologjia </w:t>
      </w:r>
      <w:r w:rsidRPr="002B370E">
        <w:rPr>
          <w:sz w:val="22"/>
          <w:szCs w:val="22"/>
        </w:rPr>
        <w:t>(do të bëhen Shtojca I e kontratës), që do të hartohen nga ofertuesi duke përdorur formatin në Shtojcën I të draftit të kontratës.</w:t>
      </w:r>
    </w:p>
    <w:p w14:paraId="55EFAFDD" w14:textId="77777777" w:rsidR="00877277" w:rsidRPr="00DD0705" w:rsidRDefault="00877277" w:rsidP="00DD0705">
      <w:pPr>
        <w:keepNext/>
        <w:numPr>
          <w:ilvl w:val="0"/>
          <w:numId w:val="20"/>
        </w:numPr>
        <w:spacing w:before="120" w:after="120"/>
        <w:jc w:val="both"/>
        <w:rPr>
          <w:b/>
        </w:rPr>
      </w:pPr>
      <w:r w:rsidRPr="00DD0705">
        <w:rPr>
          <w:b/>
        </w:rPr>
        <w:tab/>
        <w:t>Oferta financiare</w:t>
      </w:r>
    </w:p>
    <w:p w14:paraId="673A8820" w14:textId="77777777" w:rsidR="00877277" w:rsidRPr="00B6364B" w:rsidRDefault="00877277" w:rsidP="00877277">
      <w:pPr>
        <w:shd w:val="clear" w:color="auto" w:fill="FFFFFF"/>
        <w:spacing w:before="120" w:after="120"/>
        <w:jc w:val="both"/>
        <w:rPr>
          <w:sz w:val="22"/>
          <w:szCs w:val="22"/>
        </w:rPr>
      </w:pPr>
      <w:r w:rsidRPr="00B6364B">
        <w:rPr>
          <w:sz w:val="22"/>
          <w:szCs w:val="22"/>
        </w:rPr>
        <w:t>Oferta financiare duhet të paraqitet:</w:t>
      </w:r>
    </w:p>
    <w:p w14:paraId="4B852178" w14:textId="77777777" w:rsidR="00877277" w:rsidRPr="00B6364B" w:rsidRDefault="00877277" w:rsidP="00877277">
      <w:pPr>
        <w:numPr>
          <w:ilvl w:val="0"/>
          <w:numId w:val="23"/>
        </w:numPr>
        <w:shd w:val="clear" w:color="auto" w:fill="FFFFFF"/>
        <w:tabs>
          <w:tab w:val="clear" w:pos="360"/>
        </w:tabs>
        <w:spacing w:before="120" w:after="120"/>
        <w:ind w:left="426" w:hanging="426"/>
        <w:jc w:val="both"/>
        <w:rPr>
          <w:sz w:val="22"/>
          <w:szCs w:val="22"/>
        </w:rPr>
      </w:pPr>
      <w:r w:rsidRPr="00B6364B">
        <w:rPr>
          <w:sz w:val="22"/>
          <w:szCs w:val="22"/>
        </w:rPr>
        <w:t>Si një tarifë globale</w:t>
      </w:r>
    </w:p>
    <w:p w14:paraId="4D61DD5F" w14:textId="77777777" w:rsidR="00877277" w:rsidRPr="00B6364B" w:rsidRDefault="00877277" w:rsidP="00877277">
      <w:pPr>
        <w:numPr>
          <w:ilvl w:val="0"/>
          <w:numId w:val="23"/>
        </w:numPr>
        <w:shd w:val="clear" w:color="auto" w:fill="FFFFFF"/>
        <w:tabs>
          <w:tab w:val="clear" w:pos="360"/>
        </w:tabs>
        <w:spacing w:before="120" w:after="120"/>
        <w:ind w:left="426" w:hanging="426"/>
        <w:jc w:val="both"/>
        <w:rPr>
          <w:sz w:val="22"/>
          <w:szCs w:val="22"/>
        </w:rPr>
      </w:pPr>
      <w:r w:rsidRPr="00B6364B">
        <w:rPr>
          <w:sz w:val="22"/>
          <w:szCs w:val="22"/>
        </w:rPr>
        <w:t>monedhë [Euro]</w:t>
      </w:r>
    </w:p>
    <w:p w14:paraId="3E766B1D" w14:textId="77777777" w:rsidR="00877277" w:rsidRPr="00B6364B" w:rsidRDefault="00877277" w:rsidP="00877277">
      <w:pPr>
        <w:shd w:val="clear" w:color="auto" w:fill="FFFFFF"/>
        <w:spacing w:before="120" w:after="120"/>
        <w:jc w:val="both"/>
        <w:rPr>
          <w:sz w:val="22"/>
          <w:szCs w:val="22"/>
        </w:rPr>
      </w:pPr>
      <w:r w:rsidRPr="00B6364B">
        <w:rPr>
          <w:sz w:val="22"/>
          <w:szCs w:val="22"/>
        </w:rPr>
        <w:t>dhe duhet të përdorin shabllonet e përfshira në këtë dosje të tenderit.</w:t>
      </w:r>
    </w:p>
    <w:p w14:paraId="5FF81D10" w14:textId="77777777" w:rsidR="00877277" w:rsidRPr="00B6364B" w:rsidRDefault="00877277" w:rsidP="00877277">
      <w:pPr>
        <w:shd w:val="clear" w:color="auto" w:fill="FFFFFF"/>
        <w:spacing w:before="120" w:after="120"/>
        <w:jc w:val="both"/>
        <w:rPr>
          <w:sz w:val="22"/>
          <w:szCs w:val="22"/>
          <w:u w:val="single"/>
        </w:rPr>
      </w:pPr>
      <w:r w:rsidRPr="00B6364B">
        <w:rPr>
          <w:sz w:val="22"/>
          <w:szCs w:val="22"/>
          <w:u w:val="single"/>
        </w:rPr>
        <w:t>Shpenzime të rastësishme</w:t>
      </w:r>
    </w:p>
    <w:p w14:paraId="4C7FCD5F" w14:textId="77777777" w:rsidR="00877277" w:rsidRPr="002B370E" w:rsidRDefault="00877277" w:rsidP="00877277">
      <w:pPr>
        <w:shd w:val="clear" w:color="auto" w:fill="FFFFFF"/>
        <w:spacing w:before="120" w:after="120"/>
        <w:jc w:val="both"/>
        <w:rPr>
          <w:sz w:val="22"/>
          <w:szCs w:val="22"/>
        </w:rPr>
      </w:pPr>
      <w:r w:rsidRPr="00866475">
        <w:rPr>
          <w:sz w:val="22"/>
          <w:szCs w:val="22"/>
        </w:rPr>
        <w:t>Shpenzimet e rastësishme, të tilla si udhëtimi dhe akomodimi, do të përfshihen në tarifën ditore.</w:t>
      </w:r>
    </w:p>
    <w:p w14:paraId="5DF69831" w14:textId="77777777" w:rsidR="00877277" w:rsidRPr="002B370E" w:rsidRDefault="00877277" w:rsidP="00877277">
      <w:pPr>
        <w:keepNext/>
        <w:keepLines/>
        <w:numPr>
          <w:ilvl w:val="0"/>
          <w:numId w:val="20"/>
        </w:numPr>
        <w:spacing w:before="120" w:after="120"/>
        <w:jc w:val="both"/>
        <w:rPr>
          <w:b/>
        </w:rPr>
      </w:pPr>
      <w:r w:rsidRPr="002B370E">
        <w:rPr>
          <w:b/>
        </w:rPr>
        <w:t>Periudha gjatë së cilës ofertat janë të detyrueshme</w:t>
      </w:r>
    </w:p>
    <w:p w14:paraId="5839721B" w14:textId="77777777" w:rsidR="00877277" w:rsidRPr="002B370E" w:rsidRDefault="00877277" w:rsidP="00877277">
      <w:pPr>
        <w:keepNext/>
        <w:keepLines/>
        <w:spacing w:before="120" w:after="120"/>
        <w:jc w:val="both"/>
        <w:rPr>
          <w:sz w:val="22"/>
          <w:szCs w:val="22"/>
        </w:rPr>
      </w:pPr>
      <w:r w:rsidRPr="002B370E">
        <w:rPr>
          <w:sz w:val="22"/>
          <w:szCs w:val="22"/>
        </w:rPr>
        <w:t>Ofertuesit janë të detyruar të zbatojnë ofertat e tyre për 90 ditë pas afatit të fundit për dorëzimin e ofertave ose derisa të jenë njoftuar për mosdhënien e kontratës. Në raste të jashtëzakonshme, para se të skadojë periudha e vlefshmërisë, autoriteti kontraktues mund t'u kërkojë ofertuesve të zgjasin periudhën për një numër të caktuar ditësh, i cili nuk mund të kalojë 40.</w:t>
      </w:r>
    </w:p>
    <w:p w14:paraId="2EDB5BA3" w14:textId="77777777" w:rsidR="00877277" w:rsidRPr="002B370E" w:rsidRDefault="00877277" w:rsidP="00877277">
      <w:pPr>
        <w:pStyle w:val="BodyText"/>
        <w:keepNext/>
        <w:keepLines/>
        <w:tabs>
          <w:tab w:val="left" w:pos="567"/>
        </w:tabs>
        <w:spacing w:before="120" w:after="120"/>
        <w:jc w:val="both"/>
        <w:rPr>
          <w:b/>
          <w:sz w:val="22"/>
          <w:szCs w:val="22"/>
        </w:rPr>
      </w:pPr>
      <w:r w:rsidRPr="002B370E">
        <w:rPr>
          <w:sz w:val="22"/>
          <w:szCs w:val="22"/>
        </w:rPr>
        <w:t>Ofertuesi i përzgjedhur duhet ta mbajë ofertën e tij për 60 ditë të tjera. Kjo periudhë 60-ditore i shtohet periudhës së vlefshmërisë pavarësisht nga data e njoftimit.</w:t>
      </w:r>
      <w:r w:rsidRPr="000E38EE">
        <w:rPr>
          <w:sz w:val="20"/>
        </w:rPr>
        <w:t xml:space="preserve"> </w:t>
      </w:r>
      <w:r w:rsidRPr="00FC3DFA">
        <w:rPr>
          <w:sz w:val="22"/>
          <w:szCs w:val="22"/>
        </w:rPr>
        <w:t>Kjo periudhë mund të zgjatet më tej kur autoriteti kontraktues kërkohet të marrë rekomandimin e panelit të përmendur në Seksionin 2.6.10.1.1 të udhëzuesit praktik, deri në miratimin e atij rekomandimi.</w:t>
      </w:r>
    </w:p>
    <w:p w14:paraId="30575049" w14:textId="77777777" w:rsidR="00877277" w:rsidRPr="00F52C4F" w:rsidRDefault="00877277" w:rsidP="00877277">
      <w:pPr>
        <w:keepNext/>
        <w:numPr>
          <w:ilvl w:val="0"/>
          <w:numId w:val="20"/>
        </w:numPr>
        <w:spacing w:before="120" w:after="120"/>
        <w:jc w:val="both"/>
        <w:rPr>
          <w:sz w:val="22"/>
          <w:szCs w:val="22"/>
        </w:rPr>
      </w:pPr>
      <w:r w:rsidRPr="002B370E">
        <w:rPr>
          <w:b/>
        </w:rPr>
        <w:t>Informacion shtesë para afatit të fundit për dorëzimin e ofertave</w:t>
      </w:r>
    </w:p>
    <w:p w14:paraId="20AFD2B8" w14:textId="77777777" w:rsidR="00877277" w:rsidRDefault="00877277" w:rsidP="00877277">
      <w:pPr>
        <w:keepNext/>
        <w:spacing w:before="120" w:after="120"/>
        <w:jc w:val="both"/>
        <w:rPr>
          <w:sz w:val="22"/>
          <w:szCs w:val="22"/>
        </w:rPr>
      </w:pPr>
      <w:r w:rsidRPr="004A7978">
        <w:rPr>
          <w:sz w:val="22"/>
          <w:szCs w:val="22"/>
        </w:rPr>
        <w:t>Ofertuesit mund të paraqesin pyetje me shkrim në adresën e mëposhtme deri në 21 ditë para afatit të fundit për dorëzimin e ofertave, duke specifikuar referencën e publikimit dhe titullin e kontratës:</w:t>
      </w:r>
    </w:p>
    <w:p w14:paraId="14339A4A" w14:textId="77777777" w:rsidR="00877277" w:rsidRDefault="00877277" w:rsidP="00877277">
      <w:pPr>
        <w:keepNext/>
        <w:spacing w:before="120" w:after="120"/>
        <w:jc w:val="both"/>
        <w:rPr>
          <w:sz w:val="22"/>
          <w:szCs w:val="22"/>
        </w:rPr>
      </w:pPr>
    </w:p>
    <w:p w14:paraId="1AB2BA43" w14:textId="77777777" w:rsidR="00336B65" w:rsidRDefault="00336B65" w:rsidP="00877277">
      <w:pPr>
        <w:pStyle w:val="BodyText"/>
        <w:ind w:left="420"/>
        <w:rPr>
          <w:sz w:val="22"/>
          <w:szCs w:val="22"/>
          <w:highlight w:val="yellow"/>
        </w:rPr>
      </w:pPr>
      <w:r w:rsidRPr="00FF1A1A">
        <w:rPr>
          <w:bCs/>
        </w:rPr>
        <w:t>Komuna e Junikut, 51050, Junik</w:t>
      </w:r>
      <w:r w:rsidRPr="00877277">
        <w:rPr>
          <w:sz w:val="22"/>
          <w:szCs w:val="22"/>
          <w:highlight w:val="yellow"/>
        </w:rPr>
        <w:t xml:space="preserve"> </w:t>
      </w:r>
    </w:p>
    <w:p w14:paraId="55A06AB7" w14:textId="77777777" w:rsidR="00877277" w:rsidRPr="00510846" w:rsidRDefault="00877277" w:rsidP="00877277">
      <w:pPr>
        <w:pStyle w:val="BodyText"/>
        <w:ind w:left="420"/>
        <w:rPr>
          <w:sz w:val="22"/>
          <w:szCs w:val="22"/>
        </w:rPr>
      </w:pPr>
      <w:r w:rsidRPr="00B07DB3">
        <w:rPr>
          <w:sz w:val="22"/>
          <w:szCs w:val="22"/>
        </w:rPr>
        <w:t xml:space="preserve">Adresa: Junik </w:t>
      </w:r>
      <w:r w:rsidRPr="00B07DB3">
        <w:rPr>
          <w:sz w:val="22"/>
          <w:szCs w:val="22"/>
        </w:rPr>
        <w:br/>
        <w:t xml:space="preserve">E-mail: </w:t>
      </w:r>
      <w:r w:rsidR="001C409C">
        <w:rPr>
          <w:sz w:val="22"/>
          <w:szCs w:val="22"/>
        </w:rPr>
        <w:t>demokrat.ganijaj@rks-gov.net</w:t>
      </w:r>
    </w:p>
    <w:p w14:paraId="062AC82C" w14:textId="77777777" w:rsidR="00877277" w:rsidRDefault="00877277" w:rsidP="00877277">
      <w:pPr>
        <w:pStyle w:val="BodyText"/>
        <w:spacing w:before="120" w:after="120"/>
        <w:ind w:left="420"/>
        <w:jc w:val="both"/>
        <w:rPr>
          <w:i/>
          <w:iCs/>
          <w:u w:val="single"/>
        </w:rPr>
      </w:pPr>
      <w:r w:rsidRPr="001411CE">
        <w:rPr>
          <w:iCs/>
          <w:sz w:val="22"/>
          <w:szCs w:val="22"/>
        </w:rPr>
        <w:t xml:space="preserve">Autoriteti kontraktues nuk ka detyrim të japë sqarime </w:t>
      </w:r>
      <w:r w:rsidRPr="001411CE">
        <w:rPr>
          <w:rStyle w:val="Emphasis"/>
          <w:sz w:val="22"/>
          <w:szCs w:val="22"/>
        </w:rPr>
        <w:t>mbi pyetjet e marra.</w:t>
      </w:r>
      <w:r w:rsidRPr="001411CE">
        <w:rPr>
          <w:sz w:val="22"/>
          <w:szCs w:val="22"/>
        </w:rPr>
        <w:t xml:space="preserve"> </w:t>
      </w:r>
      <w:r w:rsidRPr="001411CE">
        <w:rPr>
          <w:iCs/>
          <w:sz w:val="22"/>
          <w:szCs w:val="22"/>
          <w:u w:val="single"/>
        </w:rPr>
        <w:t>pas kësaj date.</w:t>
      </w:r>
      <w:r>
        <w:rPr>
          <w:i/>
          <w:iCs/>
          <w:u w:val="single"/>
        </w:rPr>
        <w:t xml:space="preserve"> </w:t>
      </w:r>
    </w:p>
    <w:p w14:paraId="324E03B9" w14:textId="77777777" w:rsidR="00877277" w:rsidRPr="002B370E" w:rsidRDefault="00877277" w:rsidP="00877277">
      <w:pPr>
        <w:pStyle w:val="BodyText"/>
        <w:spacing w:before="120" w:after="120"/>
        <w:jc w:val="both"/>
        <w:rPr>
          <w:sz w:val="22"/>
          <w:szCs w:val="22"/>
        </w:rPr>
      </w:pPr>
      <w:r w:rsidRPr="002B370E">
        <w:rPr>
          <w:sz w:val="22"/>
          <w:szCs w:val="22"/>
        </w:rPr>
        <w:t>Çdo ofertues që kërkon të caktojë takime individuale me autoritetin kontraktues dhe/ose qeverinë e vendit partner dhe/ose Komisionin Evropian në lidhje me këtë kontratë gjatë periudhës së tenderit mund të përjashtohet nga procedura e tenderit.</w:t>
      </w:r>
    </w:p>
    <w:p w14:paraId="75F18B79" w14:textId="77777777" w:rsidR="00877277" w:rsidRPr="002549D4" w:rsidRDefault="00877277" w:rsidP="00877277">
      <w:pPr>
        <w:pStyle w:val="BodyText"/>
        <w:spacing w:before="120" w:after="120"/>
        <w:jc w:val="both"/>
        <w:rPr>
          <w:sz w:val="22"/>
          <w:szCs w:val="22"/>
        </w:rPr>
      </w:pPr>
      <w:r w:rsidRPr="002549D4">
        <w:rPr>
          <w:sz w:val="22"/>
          <w:szCs w:val="22"/>
        </w:rPr>
        <w:t>Çdo sqarim i dosjes së tenderit do t'u komunikohet njëkohësisht me shkrim të gjithë ofertuesve, jo më vonë se 8 ditë para afatit të fundit për dorëzimin e ofertave.</w:t>
      </w:r>
    </w:p>
    <w:p w14:paraId="4E8094CC" w14:textId="77777777" w:rsidR="00877277" w:rsidRPr="002B370E" w:rsidRDefault="00877277" w:rsidP="00877277">
      <w:pPr>
        <w:keepNext/>
        <w:numPr>
          <w:ilvl w:val="0"/>
          <w:numId w:val="20"/>
        </w:numPr>
        <w:spacing w:before="120" w:after="120"/>
        <w:jc w:val="both"/>
        <w:rPr>
          <w:b/>
        </w:rPr>
      </w:pPr>
      <w:bookmarkStart w:id="1" w:name="_Ref499614274"/>
      <w:bookmarkStart w:id="2" w:name="_Ref499982672"/>
      <w:r w:rsidRPr="002B370E">
        <w:rPr>
          <w:b/>
        </w:rPr>
        <w:t>Dorëzimi i ofertave</w:t>
      </w:r>
      <w:bookmarkEnd w:id="1"/>
      <w:bookmarkEnd w:id="2"/>
    </w:p>
    <w:p w14:paraId="35D9290E" w14:textId="77777777" w:rsidR="00A77B4A" w:rsidRPr="0099690D" w:rsidRDefault="00A77B4A" w:rsidP="00A77B4A">
      <w:pPr>
        <w:spacing w:after="200" w:line="276" w:lineRule="auto"/>
      </w:pPr>
      <w:r w:rsidRPr="0099690D">
        <w:t>Kandidatët e interesuar janë të lutur të dorëzojnë aplikimin e tyre në një zarf të mbyllur që përmban:</w:t>
      </w:r>
    </w:p>
    <w:p w14:paraId="6708DAD8" w14:textId="77777777" w:rsidR="00A77B4A" w:rsidRPr="00A77B4A" w:rsidRDefault="00A77B4A" w:rsidP="00A77B4A">
      <w:pPr>
        <w:numPr>
          <w:ilvl w:val="0"/>
          <w:numId w:val="18"/>
        </w:numPr>
        <w:spacing w:before="120" w:after="120" w:line="276" w:lineRule="auto"/>
        <w:rPr>
          <w:lang w:val="en-US"/>
        </w:rPr>
      </w:pPr>
      <w:r w:rsidRPr="00A77B4A">
        <w:rPr>
          <w:lang w:val="en-US"/>
        </w:rPr>
        <w:t>adresa për dorëzimin e ofertave të treguara më sipër;</w:t>
      </w:r>
    </w:p>
    <w:p w14:paraId="59C08BB9" w14:textId="77777777" w:rsidR="00A77B4A" w:rsidRPr="00A77B4A" w:rsidRDefault="00A77B4A" w:rsidP="00A77B4A">
      <w:pPr>
        <w:numPr>
          <w:ilvl w:val="0"/>
          <w:numId w:val="18"/>
        </w:numPr>
        <w:spacing w:before="120" w:after="120" w:line="276" w:lineRule="auto"/>
        <w:rPr>
          <w:lang w:val="en-US"/>
        </w:rPr>
      </w:pPr>
      <w:r w:rsidRPr="00A77B4A">
        <w:rPr>
          <w:lang w:val="en-US"/>
        </w:rPr>
        <w:t>kodi i referencës së procedurës së tenderit</w:t>
      </w:r>
    </w:p>
    <w:p w14:paraId="4ABD30B1" w14:textId="77777777" w:rsidR="00A77B4A" w:rsidRPr="00A77B4A" w:rsidRDefault="00A77B4A" w:rsidP="00A77B4A">
      <w:pPr>
        <w:numPr>
          <w:ilvl w:val="0"/>
          <w:numId w:val="18"/>
        </w:numPr>
        <w:spacing w:before="120" w:after="120" w:line="276" w:lineRule="auto"/>
        <w:rPr>
          <w:lang w:val="en-US"/>
        </w:rPr>
      </w:pPr>
      <w:r w:rsidRPr="00A77B4A">
        <w:rPr>
          <w:lang w:val="en-US"/>
        </w:rPr>
        <w:t>fjalët 'Nuk duhet të hapet para seancës së hapjes së ofertave' dhe fraza ekuivalente në shqip "Mos te hapet perpara fazes se hapjes se ofertave te butësi​</w:t>
      </w:r>
    </w:p>
    <w:p w14:paraId="5701D323" w14:textId="77777777" w:rsidR="00A77B4A" w:rsidRPr="00A77B4A" w:rsidRDefault="00A77B4A" w:rsidP="00A77B4A">
      <w:pPr>
        <w:numPr>
          <w:ilvl w:val="0"/>
          <w:numId w:val="18"/>
        </w:numPr>
        <w:spacing w:before="120" w:after="120" w:line="276" w:lineRule="auto"/>
        <w:rPr>
          <w:lang w:val="en-US"/>
        </w:rPr>
      </w:pPr>
      <w:r w:rsidRPr="00A77B4A">
        <w:rPr>
          <w:lang w:val="en-US"/>
        </w:rPr>
        <w:lastRenderedPageBreak/>
        <w:t xml:space="preserve"> dhe emrin e ofertuesit.</w:t>
      </w:r>
    </w:p>
    <w:p w14:paraId="7C0DC193" w14:textId="77777777" w:rsidR="00A77B4A" w:rsidRPr="00A77B4A" w:rsidRDefault="00A77B4A" w:rsidP="00A77B4A">
      <w:pPr>
        <w:spacing w:after="200" w:line="276" w:lineRule="auto"/>
        <w:rPr>
          <w:lang w:val="en-US"/>
        </w:rPr>
      </w:pPr>
      <w:r w:rsidRPr="00A77B4A">
        <w:rPr>
          <w:lang w:val="en-US"/>
        </w:rPr>
        <w:t>në adresën e mëposhtme:</w:t>
      </w:r>
    </w:p>
    <w:p w14:paraId="36C818C4" w14:textId="77777777" w:rsidR="00A77B4A" w:rsidRPr="00FF1A1A" w:rsidRDefault="00A77B4A" w:rsidP="00A77B4A">
      <w:pPr>
        <w:spacing w:line="276" w:lineRule="auto"/>
        <w:rPr>
          <w:b/>
          <w:lang w:val="en-GB"/>
        </w:rPr>
      </w:pPr>
      <w:r w:rsidRPr="00FF1A1A">
        <w:rPr>
          <w:b/>
          <w:lang w:val="en-GB"/>
        </w:rPr>
        <w:t xml:space="preserve">Adresa: </w:t>
      </w:r>
      <w:r w:rsidRPr="00FF1A1A">
        <w:rPr>
          <w:bCs/>
          <w:lang w:val="en-GB"/>
        </w:rPr>
        <w:t>Komuna e Junikut, 51050, Junik</w:t>
      </w:r>
    </w:p>
    <w:p w14:paraId="356AF47D" w14:textId="77777777" w:rsidR="00A77B4A" w:rsidRPr="00A77B4A" w:rsidRDefault="00A77B4A" w:rsidP="00A77B4A">
      <w:pPr>
        <w:spacing w:line="276" w:lineRule="auto"/>
        <w:rPr>
          <w:rFonts w:ascii="Calibri" w:hAnsi="Calibri"/>
          <w:b/>
          <w:bCs/>
          <w:sz w:val="22"/>
          <w:bdr w:val="none" w:sz="0" w:space="0" w:color="auto" w:frame="1"/>
          <w:shd w:val="clear" w:color="auto" w:fill="FFFFFF"/>
          <w:lang w:val="en-GB"/>
        </w:rPr>
      </w:pPr>
    </w:p>
    <w:p w14:paraId="63323EB8" w14:textId="77777777" w:rsidR="00A77B4A" w:rsidRPr="00A77B4A" w:rsidRDefault="00A77B4A" w:rsidP="00A77B4A">
      <w:pPr>
        <w:spacing w:after="200" w:line="276" w:lineRule="auto"/>
        <w:rPr>
          <w:lang w:val="en-US"/>
        </w:rPr>
      </w:pPr>
      <w:r w:rsidRPr="00A77B4A">
        <w:rPr>
          <w:lang w:val="en-US"/>
        </w:rPr>
        <w:t>Afati i fundit për dorëzimin e aplikimeve është</w:t>
      </w:r>
      <w:r w:rsidRPr="00A77B4A">
        <w:rPr>
          <w:b/>
          <w:lang w:val="en-US"/>
        </w:rPr>
        <w:t xml:space="preserve"> </w:t>
      </w:r>
      <w:r w:rsidR="000A58DF" w:rsidRPr="00903424">
        <w:rPr>
          <w:b/>
          <w:lang w:val="en-US"/>
        </w:rPr>
        <w:t>1</w:t>
      </w:r>
      <w:r w:rsidR="00F50FA6" w:rsidRPr="00903424">
        <w:rPr>
          <w:b/>
          <w:lang w:val="en-US"/>
        </w:rPr>
        <w:t>4</w:t>
      </w:r>
      <w:r w:rsidR="000A58DF" w:rsidRPr="00903424">
        <w:rPr>
          <w:b/>
          <w:lang w:val="en-US"/>
        </w:rPr>
        <w:t>.08.2025</w:t>
      </w:r>
      <w:r w:rsidR="00797FE3" w:rsidRPr="00903424">
        <w:rPr>
          <w:b/>
          <w:lang w:val="en-US"/>
        </w:rPr>
        <w:t xml:space="preserve">, ora 16:00 </w:t>
      </w:r>
      <w:r w:rsidRPr="00903424">
        <w:rPr>
          <w:lang w:val="en-US"/>
        </w:rPr>
        <w:t>.</w:t>
      </w:r>
      <w:r w:rsidRPr="00A77B4A">
        <w:rPr>
          <w:lang w:val="en-US"/>
        </w:rPr>
        <w:t xml:space="preserve"> Vetëm aplikimet e pranuara para këtij afati do të merren në konsideratë .</w:t>
      </w:r>
    </w:p>
    <w:p w14:paraId="199CF47C" w14:textId="77777777" w:rsidR="005552E3" w:rsidRPr="002B370E" w:rsidRDefault="005552E3" w:rsidP="005552E3">
      <w:pPr>
        <w:keepNext/>
        <w:numPr>
          <w:ilvl w:val="0"/>
          <w:numId w:val="20"/>
        </w:numPr>
        <w:spacing w:before="120" w:after="120"/>
        <w:jc w:val="both"/>
        <w:rPr>
          <w:b/>
        </w:rPr>
      </w:pPr>
      <w:r w:rsidRPr="002B370E">
        <w:rPr>
          <w:b/>
        </w:rPr>
        <w:t>Ndryshimi ose tërheqja e ofertave</w:t>
      </w:r>
    </w:p>
    <w:p w14:paraId="355BF225" w14:textId="77777777" w:rsidR="005552E3" w:rsidRPr="00EC5AD4" w:rsidRDefault="005552E3" w:rsidP="005552E3">
      <w:pPr>
        <w:spacing w:before="120" w:after="120"/>
        <w:jc w:val="both"/>
        <w:rPr>
          <w:sz w:val="22"/>
          <w:szCs w:val="22"/>
        </w:rPr>
      </w:pPr>
      <w:r w:rsidRPr="00EC5AD4">
        <w:rPr>
          <w:sz w:val="22"/>
          <w:szCs w:val="22"/>
        </w:rPr>
        <w:t>Ofertuesit mund të ndryshojnë ose tërheqin ofertat e tyre me anë të një njoftimi me shkrim para afatit të fundit për dorëzimin e ofertave. Ofertat nuk mund të ndryshohen pas këtij afati.</w:t>
      </w:r>
    </w:p>
    <w:p w14:paraId="236538A7" w14:textId="77777777" w:rsidR="005552E3" w:rsidRPr="002B370E" w:rsidRDefault="005552E3" w:rsidP="005552E3">
      <w:pPr>
        <w:spacing w:before="120" w:after="120"/>
        <w:jc w:val="both"/>
        <w:rPr>
          <w:sz w:val="22"/>
          <w:szCs w:val="22"/>
        </w:rPr>
      </w:pPr>
      <w:r w:rsidRPr="00EC5AD4">
        <w:rPr>
          <w:sz w:val="22"/>
          <w:szCs w:val="22"/>
        </w:rPr>
        <w:t xml:space="preserve">Çdo njoftim i tillë për ndryshim ose tërheqje duhet të përgatitet dhe të dorëzohet në përputhje me klauzolën </w:t>
      </w:r>
      <w:r w:rsidRPr="00EC5AD4">
        <w:rPr>
          <w:sz w:val="22"/>
          <w:szCs w:val="22"/>
        </w:rPr>
        <w:fldChar w:fldCharType="begin"/>
      </w:r>
      <w:r w:rsidRPr="00EC5AD4">
        <w:rPr>
          <w:sz w:val="22"/>
          <w:szCs w:val="22"/>
        </w:rPr>
        <w:instrText xml:space="preserve"> REF _Ref499982672 \r \h  \* MERGEFORMAT </w:instrText>
      </w:r>
      <w:r w:rsidRPr="00EC5AD4">
        <w:rPr>
          <w:sz w:val="22"/>
          <w:szCs w:val="22"/>
        </w:rPr>
      </w:r>
      <w:r w:rsidRPr="00EC5AD4">
        <w:rPr>
          <w:sz w:val="22"/>
          <w:szCs w:val="22"/>
        </w:rPr>
        <w:fldChar w:fldCharType="separate"/>
      </w:r>
      <w:r w:rsidRPr="00EC5AD4">
        <w:rPr>
          <w:sz w:val="22"/>
          <w:szCs w:val="22"/>
        </w:rPr>
        <w:t xml:space="preserve">8. </w:t>
      </w:r>
      <w:r w:rsidRPr="00EC5AD4">
        <w:rPr>
          <w:sz w:val="22"/>
          <w:szCs w:val="22"/>
        </w:rPr>
        <w:fldChar w:fldCharType="end"/>
      </w:r>
      <w:r w:rsidRPr="00EC5AD4">
        <w:rPr>
          <w:sz w:val="22"/>
          <w:szCs w:val="22"/>
        </w:rPr>
        <w:t>Zarfi i jashtëm (dhe zarfi i brendshëm përkatës) duhet të shënohet 'Ndryshim' ose 'Tërheqje' sipas rastit.</w:t>
      </w:r>
    </w:p>
    <w:p w14:paraId="7D3B35E2" w14:textId="77777777" w:rsidR="005552E3" w:rsidRPr="002B370E" w:rsidRDefault="005552E3" w:rsidP="005552E3">
      <w:pPr>
        <w:keepNext/>
        <w:keepLines/>
        <w:numPr>
          <w:ilvl w:val="0"/>
          <w:numId w:val="20"/>
        </w:numPr>
        <w:spacing w:before="120" w:after="120"/>
        <w:jc w:val="both"/>
        <w:rPr>
          <w:b/>
        </w:rPr>
      </w:pPr>
      <w:r w:rsidRPr="002B370E">
        <w:rPr>
          <w:b/>
        </w:rPr>
        <w:t>Kostot për përgatitjen e ofertave</w:t>
      </w:r>
    </w:p>
    <w:p w14:paraId="638F096C" w14:textId="77777777" w:rsidR="005552E3" w:rsidRPr="002B370E" w:rsidRDefault="005552E3" w:rsidP="005552E3">
      <w:pPr>
        <w:keepNext/>
        <w:keepLines/>
        <w:spacing w:before="120" w:after="120"/>
        <w:jc w:val="both"/>
        <w:rPr>
          <w:sz w:val="22"/>
          <w:szCs w:val="22"/>
        </w:rPr>
      </w:pPr>
      <w:r w:rsidRPr="002B370E">
        <w:rPr>
          <w:sz w:val="22"/>
          <w:szCs w:val="22"/>
        </w:rPr>
        <w:t>Asnjë shpenzim i shkaktuar nga ofertuesi gjatë përgatitjes dhe dorëzimit të ofertës nuk rimbursohet. Të gjitha këto shpenzime duhet të mbulohen nga ofertuesi.</w:t>
      </w:r>
    </w:p>
    <w:p w14:paraId="01696ADA" w14:textId="77777777" w:rsidR="005552E3" w:rsidRPr="002B370E" w:rsidRDefault="005552E3" w:rsidP="005552E3">
      <w:pPr>
        <w:numPr>
          <w:ilvl w:val="0"/>
          <w:numId w:val="20"/>
        </w:numPr>
        <w:spacing w:before="120" w:after="120"/>
        <w:jc w:val="both"/>
        <w:rPr>
          <w:b/>
        </w:rPr>
      </w:pPr>
      <w:r w:rsidRPr="002B370E">
        <w:rPr>
          <w:b/>
        </w:rPr>
        <w:t>Pronësia e tenderëve</w:t>
      </w:r>
    </w:p>
    <w:p w14:paraId="4434CEEA" w14:textId="77777777" w:rsidR="005552E3" w:rsidRPr="002B370E" w:rsidRDefault="005552E3" w:rsidP="005552E3">
      <w:pPr>
        <w:spacing w:before="120" w:after="120"/>
        <w:jc w:val="both"/>
        <w:rPr>
          <w:sz w:val="22"/>
          <w:szCs w:val="22"/>
        </w:rPr>
      </w:pPr>
      <w:r w:rsidRPr="002B370E">
        <w:rPr>
          <w:sz w:val="22"/>
          <w:szCs w:val="22"/>
        </w:rPr>
        <w:t>Autoriteti kontraktues mban pronësinë e të gjitha ofertave të marra sipas kësaj procedure tenderimi.</w:t>
      </w:r>
    </w:p>
    <w:p w14:paraId="38F2B6CF" w14:textId="77777777" w:rsidR="005552E3" w:rsidRDefault="005552E3" w:rsidP="005552E3">
      <w:pPr>
        <w:numPr>
          <w:ilvl w:val="0"/>
          <w:numId w:val="20"/>
        </w:numPr>
        <w:spacing w:before="120" w:after="120"/>
        <w:jc w:val="both"/>
        <w:rPr>
          <w:b/>
        </w:rPr>
      </w:pPr>
      <w:r w:rsidRPr="002B370E">
        <w:rPr>
          <w:b/>
        </w:rPr>
        <w:t>Vlerësimi i ofertave</w:t>
      </w:r>
    </w:p>
    <w:p w14:paraId="525BF34C" w14:textId="77777777" w:rsidR="005552E3" w:rsidRDefault="005552E3" w:rsidP="005552E3">
      <w:pPr>
        <w:pStyle w:val="Numbered"/>
        <w:numPr>
          <w:ilvl w:val="0"/>
          <w:numId w:val="0"/>
        </w:numPr>
        <w:spacing w:before="120" w:after="60"/>
        <w:rPr>
          <w:sz w:val="22"/>
          <w:szCs w:val="22"/>
        </w:rPr>
      </w:pPr>
      <w:r w:rsidRPr="00442485">
        <w:rPr>
          <w:sz w:val="22"/>
          <w:szCs w:val="22"/>
        </w:rPr>
        <w:t>Hapja e ofertave të pranuara nuk është publike.</w:t>
      </w:r>
    </w:p>
    <w:p w14:paraId="2C918B1E" w14:textId="77777777" w:rsidR="005552E3" w:rsidRPr="00442485" w:rsidRDefault="005552E3" w:rsidP="005552E3">
      <w:pPr>
        <w:pStyle w:val="Numbered"/>
        <w:numPr>
          <w:ilvl w:val="0"/>
          <w:numId w:val="0"/>
        </w:numPr>
        <w:spacing w:before="120" w:after="60"/>
        <w:rPr>
          <w:sz w:val="22"/>
          <w:szCs w:val="22"/>
        </w:rPr>
      </w:pPr>
      <w:r w:rsidRPr="00442485">
        <w:rPr>
          <w:sz w:val="22"/>
          <w:szCs w:val="22"/>
        </w:rPr>
        <w:t>Pasi autoriteti kontraktor të ketë hapur ofertat, ato do të bëhen pronë e tij dhe do të trajtohen me konfidencialitet.</w:t>
      </w:r>
    </w:p>
    <w:p w14:paraId="6692D5F0" w14:textId="77777777" w:rsidR="005552E3" w:rsidRPr="00797FE3" w:rsidRDefault="005552E3" w:rsidP="00797FE3">
      <w:pPr>
        <w:numPr>
          <w:ilvl w:val="0"/>
          <w:numId w:val="20"/>
        </w:numPr>
        <w:spacing w:before="120" w:after="120"/>
        <w:jc w:val="both"/>
        <w:rPr>
          <w:b/>
        </w:rPr>
      </w:pPr>
      <w:r w:rsidRPr="005552E3">
        <w:rPr>
          <w:b/>
        </w:rPr>
        <w:t>Vlerësimi i ofertave teknike</w:t>
      </w:r>
    </w:p>
    <w:p w14:paraId="2A264270" w14:textId="77777777" w:rsidR="00C502B1" w:rsidRPr="00797FE3" w:rsidRDefault="005552E3" w:rsidP="00797FE3">
      <w:pPr>
        <w:spacing w:before="120" w:after="120"/>
        <w:jc w:val="both"/>
        <w:rPr>
          <w:sz w:val="22"/>
          <w:szCs w:val="22"/>
        </w:rPr>
      </w:pPr>
      <w:r w:rsidRPr="002B370E">
        <w:rPr>
          <w:sz w:val="22"/>
          <w:szCs w:val="22"/>
        </w:rPr>
        <w:t>Cilësia e secilës ofertë teknike do të vlerësohet në përputhje me kriteret e dhënies së kontratës dhe peshën e detajuar në tabelën e vlerësimit:</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4311"/>
        <w:gridCol w:w="1688"/>
      </w:tblGrid>
      <w:tr w:rsidR="00C502B1" w:rsidRPr="000158FE" w14:paraId="7F9C354B" w14:textId="77777777" w:rsidTr="00D22305">
        <w:tc>
          <w:tcPr>
            <w:tcW w:w="409" w:type="dxa"/>
          </w:tcPr>
          <w:p w14:paraId="18CF8BE5" w14:textId="77777777" w:rsidR="00C502B1" w:rsidRPr="00230C94" w:rsidRDefault="00C502B1" w:rsidP="003547D3">
            <w:pPr>
              <w:rPr>
                <w:rFonts w:cs="Calibri"/>
                <w:b/>
                <w:bCs/>
                <w:lang w:val="sr-Latn-CS"/>
              </w:rPr>
            </w:pPr>
          </w:p>
        </w:tc>
        <w:tc>
          <w:tcPr>
            <w:tcW w:w="4311" w:type="dxa"/>
          </w:tcPr>
          <w:p w14:paraId="6D36956C" w14:textId="77777777" w:rsidR="00C502B1" w:rsidRPr="00230C94" w:rsidRDefault="00C502B1" w:rsidP="003547D3">
            <w:pPr>
              <w:rPr>
                <w:rFonts w:cs="Calibri"/>
                <w:b/>
                <w:bCs/>
                <w:lang w:val="sr-Latn-CS"/>
              </w:rPr>
            </w:pPr>
            <w:r w:rsidRPr="00230C94">
              <w:rPr>
                <w:rFonts w:cs="Calibri"/>
                <w:b/>
                <w:bCs/>
                <w:lang w:val="sr-Latn-CS"/>
              </w:rPr>
              <w:t>Në kriteret</w:t>
            </w:r>
            <w:r w:rsidRPr="00230C94">
              <w:rPr>
                <w:rFonts w:cs="Calibri"/>
                <w:b/>
              </w:rPr>
              <w:t>​</w:t>
            </w:r>
          </w:p>
        </w:tc>
        <w:tc>
          <w:tcPr>
            <w:tcW w:w="1688" w:type="dxa"/>
          </w:tcPr>
          <w:p w14:paraId="620F4A24" w14:textId="77777777" w:rsidR="00C502B1" w:rsidRPr="00230C94" w:rsidRDefault="00C502B1" w:rsidP="003547D3">
            <w:pPr>
              <w:rPr>
                <w:rFonts w:cs="Calibri"/>
                <w:b/>
                <w:bCs/>
                <w:lang w:val="sr-Latn-CS"/>
              </w:rPr>
            </w:pPr>
            <w:r w:rsidRPr="00230C94">
              <w:rPr>
                <w:rFonts w:cs="Calibri"/>
                <w:b/>
                <w:bCs/>
                <w:lang w:val="sr-Latn-CS"/>
              </w:rPr>
              <w:t xml:space="preserve">Pesha në </w:t>
            </w:r>
            <w:r w:rsidRPr="00230C94">
              <w:rPr>
                <w:rFonts w:cs="Calibri"/>
                <w:b/>
              </w:rPr>
              <w:t xml:space="preserve">ë </w:t>
            </w:r>
            <w:r w:rsidRPr="00230C94">
              <w:rPr>
                <w:rFonts w:cs="Calibri"/>
                <w:b/>
                <w:bCs/>
                <w:lang w:val="sr-Latn-CS"/>
              </w:rPr>
              <w:t>%</w:t>
            </w:r>
          </w:p>
        </w:tc>
      </w:tr>
      <w:tr w:rsidR="00C502B1" w:rsidRPr="000158FE" w14:paraId="225B63B4" w14:textId="77777777" w:rsidTr="00D22305">
        <w:trPr>
          <w:trHeight w:val="773"/>
        </w:trPr>
        <w:tc>
          <w:tcPr>
            <w:tcW w:w="409" w:type="dxa"/>
          </w:tcPr>
          <w:p w14:paraId="26B585DE" w14:textId="77777777" w:rsidR="00C502B1" w:rsidRPr="00230C94" w:rsidRDefault="00C502B1" w:rsidP="003547D3">
            <w:pPr>
              <w:rPr>
                <w:rFonts w:cs="Calibri"/>
                <w:b/>
                <w:bCs/>
                <w:lang w:val="sr-Latn-CS"/>
              </w:rPr>
            </w:pPr>
          </w:p>
        </w:tc>
        <w:tc>
          <w:tcPr>
            <w:tcW w:w="4311" w:type="dxa"/>
          </w:tcPr>
          <w:p w14:paraId="1CDD66CC" w14:textId="77777777" w:rsidR="00C502B1" w:rsidRPr="00230C94" w:rsidRDefault="00C502B1" w:rsidP="003547D3">
            <w:pPr>
              <w:rPr>
                <w:rFonts w:cs="Calibri"/>
                <w:b/>
                <w:color w:val="0000C8"/>
              </w:rPr>
            </w:pPr>
            <w:r w:rsidRPr="00230C94">
              <w:rPr>
                <w:rFonts w:cs="Calibri"/>
                <w:b/>
                <w:color w:val="0000C8"/>
              </w:rPr>
              <w:t>Propozimi Teknik = 80 pikë</w:t>
            </w:r>
          </w:p>
        </w:tc>
        <w:tc>
          <w:tcPr>
            <w:tcW w:w="1688" w:type="dxa"/>
          </w:tcPr>
          <w:p w14:paraId="74BD6F15" w14:textId="77777777" w:rsidR="00C502B1" w:rsidRPr="00230C94" w:rsidRDefault="00C502B1" w:rsidP="003547D3">
            <w:pPr>
              <w:jc w:val="right"/>
              <w:rPr>
                <w:rFonts w:cs="Calibri"/>
                <w:b/>
                <w:color w:val="0000C8"/>
              </w:rPr>
            </w:pPr>
            <w:r>
              <w:rPr>
                <w:rFonts w:cs="Calibri"/>
                <w:b/>
                <w:color w:val="0000C8"/>
              </w:rPr>
              <w:t>80%</w:t>
            </w:r>
          </w:p>
        </w:tc>
      </w:tr>
      <w:tr w:rsidR="00C502B1" w:rsidRPr="000158FE" w14:paraId="2DDEB9BD" w14:textId="77777777" w:rsidTr="00D22305">
        <w:tc>
          <w:tcPr>
            <w:tcW w:w="409" w:type="dxa"/>
          </w:tcPr>
          <w:p w14:paraId="270CB999" w14:textId="77777777" w:rsidR="00C502B1" w:rsidRPr="00230C94" w:rsidRDefault="00C502B1" w:rsidP="003547D3">
            <w:pPr>
              <w:rPr>
                <w:rFonts w:cs="Calibri"/>
                <w:b/>
                <w:bCs/>
                <w:lang w:val="sr-Latn-CS"/>
              </w:rPr>
            </w:pPr>
          </w:p>
        </w:tc>
        <w:tc>
          <w:tcPr>
            <w:tcW w:w="4311" w:type="dxa"/>
          </w:tcPr>
          <w:p w14:paraId="2E38E7D1" w14:textId="77777777" w:rsidR="00C502B1" w:rsidRPr="00230C94" w:rsidRDefault="00C502B1" w:rsidP="003547D3">
            <w:pPr>
              <w:rPr>
                <w:rFonts w:cs="Calibri"/>
                <w:b/>
                <w:color w:val="0000C8"/>
              </w:rPr>
            </w:pPr>
            <w:r>
              <w:rPr>
                <w:rFonts w:cs="Calibri"/>
                <w:b/>
                <w:color w:val="0000C8"/>
              </w:rPr>
              <w:t>Propozimi Financiar =20pikë</w:t>
            </w:r>
          </w:p>
        </w:tc>
        <w:tc>
          <w:tcPr>
            <w:tcW w:w="1688" w:type="dxa"/>
          </w:tcPr>
          <w:p w14:paraId="58221078" w14:textId="77777777" w:rsidR="00C502B1" w:rsidRPr="00230C94" w:rsidRDefault="00C502B1" w:rsidP="003547D3">
            <w:pPr>
              <w:jc w:val="right"/>
              <w:rPr>
                <w:rFonts w:cs="Calibri"/>
                <w:b/>
                <w:color w:val="0000C8"/>
              </w:rPr>
            </w:pPr>
            <w:r>
              <w:rPr>
                <w:rFonts w:cs="Calibri"/>
                <w:b/>
                <w:color w:val="0000C8"/>
              </w:rPr>
              <w:t>20%</w:t>
            </w:r>
          </w:p>
        </w:tc>
      </w:tr>
    </w:tbl>
    <w:p w14:paraId="548861F3" w14:textId="77777777" w:rsidR="00C502B1" w:rsidRDefault="00C502B1" w:rsidP="00C502B1">
      <w:pPr>
        <w:rPr>
          <w:rFonts w:cs="Calibri"/>
          <w:b/>
        </w:rPr>
      </w:pPr>
      <w:r w:rsidRPr="00230C94">
        <w:rPr>
          <w:rFonts w:cs="Calibri"/>
          <w:b/>
        </w:rPr>
        <w:t xml:space="preserve">Pikët Totale për kriteret: </w:t>
      </w:r>
      <w:r w:rsidRPr="00230C94">
        <w:rPr>
          <w:rFonts w:cs="Calibri"/>
          <w:b/>
        </w:rPr>
        <w:tab/>
        <w:t>100</w:t>
      </w:r>
    </w:p>
    <w:p w14:paraId="0F227C66" w14:textId="77777777" w:rsidR="00C502B1" w:rsidRPr="00230C94" w:rsidRDefault="00C502B1" w:rsidP="00C502B1">
      <w:pPr>
        <w:rPr>
          <w:rFonts w:cs="Calibri"/>
          <w:b/>
        </w:rPr>
      </w:pPr>
    </w:p>
    <w:tbl>
      <w:tblPr>
        <w:tblW w:w="6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4679"/>
        <w:gridCol w:w="1275"/>
      </w:tblGrid>
      <w:tr w:rsidR="00C502B1" w:rsidRPr="000158FE" w14:paraId="3E9DCA05" w14:textId="77777777" w:rsidTr="003547D3">
        <w:tc>
          <w:tcPr>
            <w:tcW w:w="409" w:type="dxa"/>
          </w:tcPr>
          <w:p w14:paraId="390B15B8" w14:textId="77777777" w:rsidR="00C502B1" w:rsidRPr="00230C94" w:rsidRDefault="00C502B1" w:rsidP="003547D3">
            <w:pPr>
              <w:rPr>
                <w:rFonts w:cs="Calibri"/>
                <w:b/>
                <w:bCs/>
                <w:lang w:val="sr-Latn-CS"/>
              </w:rPr>
            </w:pPr>
          </w:p>
        </w:tc>
        <w:tc>
          <w:tcPr>
            <w:tcW w:w="4679" w:type="dxa"/>
          </w:tcPr>
          <w:p w14:paraId="794D0450" w14:textId="77777777" w:rsidR="00C502B1" w:rsidRPr="00230C94" w:rsidRDefault="00C502B1" w:rsidP="003547D3">
            <w:pPr>
              <w:rPr>
                <w:rFonts w:cs="Calibri"/>
                <w:b/>
                <w:bCs/>
                <w:lang w:val="sr-Latn-CS"/>
              </w:rPr>
            </w:pPr>
            <w:r w:rsidRPr="00230C94">
              <w:rPr>
                <w:rFonts w:cs="Calibri"/>
                <w:b/>
                <w:bCs/>
                <w:lang w:val="sr-Latn-CS"/>
              </w:rPr>
              <w:t>Në kriteret</w:t>
            </w:r>
            <w:r w:rsidRPr="00230C94">
              <w:rPr>
                <w:rFonts w:cs="Calibri"/>
                <w:b/>
              </w:rPr>
              <w:t>​</w:t>
            </w:r>
          </w:p>
        </w:tc>
        <w:tc>
          <w:tcPr>
            <w:tcW w:w="1275" w:type="dxa"/>
          </w:tcPr>
          <w:p w14:paraId="1AAB746A" w14:textId="77777777" w:rsidR="00C502B1" w:rsidRPr="00230C94" w:rsidRDefault="00C502B1" w:rsidP="003547D3">
            <w:pPr>
              <w:rPr>
                <w:rFonts w:cs="Calibri"/>
                <w:b/>
                <w:bCs/>
                <w:lang w:val="sr-Latn-CS"/>
              </w:rPr>
            </w:pPr>
            <w:r>
              <w:rPr>
                <w:rFonts w:cs="Calibri"/>
                <w:b/>
                <w:bCs/>
                <w:lang w:val="sr-Latn-CS"/>
              </w:rPr>
              <w:t>Pikët</w:t>
            </w:r>
          </w:p>
        </w:tc>
      </w:tr>
      <w:tr w:rsidR="00C502B1" w:rsidRPr="000158FE" w14:paraId="1CE19266" w14:textId="77777777" w:rsidTr="003547D3">
        <w:tc>
          <w:tcPr>
            <w:tcW w:w="409" w:type="dxa"/>
          </w:tcPr>
          <w:p w14:paraId="465BEE8B" w14:textId="77777777" w:rsidR="00C502B1" w:rsidRPr="00230C94" w:rsidRDefault="00C502B1" w:rsidP="003547D3">
            <w:pPr>
              <w:rPr>
                <w:rFonts w:cs="Calibri"/>
                <w:b/>
                <w:bCs/>
                <w:lang w:val="sr-Latn-CS"/>
              </w:rPr>
            </w:pPr>
          </w:p>
        </w:tc>
        <w:tc>
          <w:tcPr>
            <w:tcW w:w="4679" w:type="dxa"/>
          </w:tcPr>
          <w:p w14:paraId="4FDB2456" w14:textId="77777777" w:rsidR="00C502B1" w:rsidRPr="00230C94" w:rsidRDefault="00C502B1" w:rsidP="003547D3">
            <w:pPr>
              <w:rPr>
                <w:rFonts w:cs="Calibri"/>
                <w:b/>
                <w:bCs/>
                <w:color w:val="0000C8"/>
                <w:lang w:val="sr-Latn-CS"/>
              </w:rPr>
            </w:pPr>
            <w:r w:rsidRPr="00230C94">
              <w:rPr>
                <w:rFonts w:cs="Calibri"/>
                <w:b/>
                <w:color w:val="0000C8"/>
              </w:rPr>
              <w:t>Përvoja e kompanisë në auditimin e suksesshëm, projektimi për zbatimin e masave EE dhe energjive të rinovueshme (panelet solare) në ndërtesa publike dhe private, impiante termike dhe elektrike etj.</w:t>
            </w:r>
          </w:p>
        </w:tc>
        <w:tc>
          <w:tcPr>
            <w:tcW w:w="1275" w:type="dxa"/>
          </w:tcPr>
          <w:p w14:paraId="250DC8EA" w14:textId="77777777" w:rsidR="00C502B1" w:rsidRPr="00230C94" w:rsidRDefault="00C502B1" w:rsidP="003547D3">
            <w:pPr>
              <w:rPr>
                <w:rFonts w:cs="Calibri"/>
                <w:b/>
                <w:bCs/>
                <w:color w:val="0000C8"/>
                <w:lang w:val="sr-Latn-CS"/>
              </w:rPr>
            </w:pPr>
            <w:r>
              <w:rPr>
                <w:rFonts w:cs="Calibri"/>
                <w:b/>
                <w:color w:val="0000C8"/>
              </w:rPr>
              <w:t>40</w:t>
            </w:r>
          </w:p>
        </w:tc>
      </w:tr>
      <w:tr w:rsidR="00C502B1" w:rsidRPr="000158FE" w14:paraId="6E6D74A4" w14:textId="77777777" w:rsidTr="003547D3">
        <w:tc>
          <w:tcPr>
            <w:tcW w:w="409" w:type="dxa"/>
          </w:tcPr>
          <w:p w14:paraId="14BA2148" w14:textId="77777777" w:rsidR="00C502B1" w:rsidRPr="00230C94" w:rsidRDefault="00C502B1" w:rsidP="003547D3">
            <w:pPr>
              <w:rPr>
                <w:rFonts w:cs="Calibri"/>
                <w:b/>
                <w:bCs/>
                <w:lang w:val="sr-Latn-CS"/>
              </w:rPr>
            </w:pPr>
          </w:p>
        </w:tc>
        <w:tc>
          <w:tcPr>
            <w:tcW w:w="4679" w:type="dxa"/>
          </w:tcPr>
          <w:p w14:paraId="439B92E9" w14:textId="77777777" w:rsidR="00C502B1" w:rsidRPr="00230C94" w:rsidRDefault="00C502B1" w:rsidP="003547D3">
            <w:pPr>
              <w:rPr>
                <w:rFonts w:cs="Calibri"/>
                <w:b/>
                <w:bCs/>
                <w:color w:val="0000C8"/>
                <w:lang w:val="sr-Latn-CS"/>
              </w:rPr>
            </w:pPr>
            <w:r w:rsidRPr="00230C94">
              <w:rPr>
                <w:rFonts w:cs="Calibri"/>
                <w:b/>
                <w:color w:val="0000C8"/>
              </w:rPr>
              <w:t>Ekipi i vendosur (CV, Referenca për projektin e EE)</w:t>
            </w:r>
          </w:p>
        </w:tc>
        <w:tc>
          <w:tcPr>
            <w:tcW w:w="1275" w:type="dxa"/>
          </w:tcPr>
          <w:p w14:paraId="425FC09F" w14:textId="77777777" w:rsidR="00C502B1" w:rsidRPr="00230C94" w:rsidRDefault="00C502B1" w:rsidP="003547D3">
            <w:pPr>
              <w:rPr>
                <w:rFonts w:cs="Calibri"/>
                <w:b/>
                <w:bCs/>
                <w:color w:val="0000C8"/>
                <w:lang w:val="sr-Latn-CS"/>
              </w:rPr>
            </w:pPr>
            <w:r>
              <w:rPr>
                <w:rFonts w:cs="Calibri"/>
                <w:b/>
                <w:color w:val="0000C8"/>
              </w:rPr>
              <w:t>40</w:t>
            </w:r>
          </w:p>
        </w:tc>
      </w:tr>
      <w:tr w:rsidR="00C502B1" w:rsidRPr="000158FE" w14:paraId="2E15B3FB" w14:textId="77777777" w:rsidTr="003547D3">
        <w:tc>
          <w:tcPr>
            <w:tcW w:w="409" w:type="dxa"/>
          </w:tcPr>
          <w:p w14:paraId="7820B275" w14:textId="77777777" w:rsidR="00C502B1" w:rsidRPr="00230C94" w:rsidRDefault="00C502B1" w:rsidP="003547D3">
            <w:pPr>
              <w:rPr>
                <w:rFonts w:cs="Calibri"/>
                <w:b/>
                <w:bCs/>
                <w:lang w:val="sr-Latn-CS"/>
              </w:rPr>
            </w:pPr>
          </w:p>
        </w:tc>
        <w:tc>
          <w:tcPr>
            <w:tcW w:w="4679" w:type="dxa"/>
          </w:tcPr>
          <w:p w14:paraId="196B2E83" w14:textId="77777777" w:rsidR="00C502B1" w:rsidRPr="00230C94" w:rsidRDefault="00C502B1" w:rsidP="003547D3">
            <w:pPr>
              <w:rPr>
                <w:rFonts w:cs="Calibri"/>
                <w:b/>
                <w:bCs/>
                <w:color w:val="0000C8"/>
                <w:lang w:val="sr-Latn-CS"/>
              </w:rPr>
            </w:pPr>
            <w:r w:rsidRPr="00230C94">
              <w:rPr>
                <w:rFonts w:cs="Calibri"/>
                <w:b/>
                <w:color w:val="0000C8"/>
              </w:rPr>
              <w:t>Metodologjia (Auditimi dhe projektimi, Metodat e monitorimit)</w:t>
            </w:r>
          </w:p>
        </w:tc>
        <w:tc>
          <w:tcPr>
            <w:tcW w:w="1275" w:type="dxa"/>
          </w:tcPr>
          <w:p w14:paraId="3FE422BE" w14:textId="77777777" w:rsidR="00C502B1" w:rsidRPr="00230C94" w:rsidRDefault="00C502B1" w:rsidP="003547D3">
            <w:pPr>
              <w:rPr>
                <w:rFonts w:cs="Calibri"/>
                <w:b/>
                <w:bCs/>
                <w:color w:val="0000C8"/>
                <w:lang w:val="sr-Latn-CS"/>
              </w:rPr>
            </w:pPr>
            <w:r>
              <w:rPr>
                <w:rFonts w:cs="Calibri"/>
                <w:b/>
                <w:color w:val="0000C8"/>
              </w:rPr>
              <w:t>20</w:t>
            </w:r>
          </w:p>
        </w:tc>
      </w:tr>
    </w:tbl>
    <w:p w14:paraId="11A67FAD" w14:textId="77777777" w:rsidR="00C502B1" w:rsidRPr="00230C94" w:rsidRDefault="00C502B1" w:rsidP="00C502B1">
      <w:pPr>
        <w:rPr>
          <w:rFonts w:cs="Calibri"/>
          <w:b/>
        </w:rPr>
      </w:pPr>
      <w:r w:rsidRPr="00230C94">
        <w:rPr>
          <w:rFonts w:cs="Calibri"/>
          <w:b/>
        </w:rPr>
        <w:t xml:space="preserve">Pikët Totale për kriteret: </w:t>
      </w:r>
      <w:r w:rsidRPr="00230C94">
        <w:rPr>
          <w:rFonts w:cs="Calibri"/>
          <w:b/>
        </w:rPr>
        <w:tab/>
        <w:t>100</w:t>
      </w:r>
    </w:p>
    <w:p w14:paraId="3B7CBB02" w14:textId="77777777" w:rsidR="00C502B1" w:rsidRDefault="00C502B1" w:rsidP="00C502B1">
      <w:pPr>
        <w:rPr>
          <w:rFonts w:cs="Calibri"/>
          <w:b/>
          <w:i/>
          <w:color w:val="FF0000"/>
        </w:rPr>
      </w:pPr>
    </w:p>
    <w:p w14:paraId="3B1F072E" w14:textId="77777777" w:rsidR="00C502B1" w:rsidRPr="00797FE3" w:rsidRDefault="00C502B1" w:rsidP="00C502B1">
      <w:pPr>
        <w:rPr>
          <w:rFonts w:cs="Calibri"/>
          <w:i/>
        </w:rPr>
      </w:pPr>
      <w:r w:rsidRPr="00797FE3">
        <w:rPr>
          <w:rFonts w:cs="Calibri"/>
          <w:i/>
        </w:rPr>
        <w:lastRenderedPageBreak/>
        <w:t>Kualifikimi për teknikat e veçanta, minimumi 65 pikë.</w:t>
      </w:r>
    </w:p>
    <w:p w14:paraId="3063462E" w14:textId="77777777" w:rsidR="00C502B1" w:rsidRPr="00797FE3" w:rsidRDefault="00C502B1" w:rsidP="00C502B1">
      <w:pPr>
        <w:pStyle w:val="ListParagraph"/>
        <w:widowControl w:val="0"/>
        <w:autoSpaceDE w:val="0"/>
        <w:autoSpaceDN w:val="0"/>
        <w:rPr>
          <w:rFonts w:cs="Calibri"/>
        </w:rPr>
      </w:pPr>
      <w:r w:rsidRPr="00797FE3">
        <w:rPr>
          <w:rFonts w:cs="Calibri"/>
          <w:sz w:val="28"/>
          <w:szCs w:val="28"/>
        </w:rPr>
        <w:t xml:space="preserve">Pikët Totale për kriteret: </w:t>
      </w:r>
      <w:r w:rsidRPr="00797FE3">
        <w:rPr>
          <w:rFonts w:cs="Calibri"/>
          <w:sz w:val="28"/>
          <w:szCs w:val="28"/>
        </w:rPr>
        <w:tab/>
        <w:t>100 pikë</w:t>
      </w:r>
    </w:p>
    <w:p w14:paraId="6B881DB6" w14:textId="77777777" w:rsidR="005552E3" w:rsidRPr="005552E3" w:rsidRDefault="005552E3" w:rsidP="005552E3">
      <w:pPr>
        <w:spacing w:before="120" w:after="120"/>
        <w:ind w:left="420"/>
        <w:jc w:val="both"/>
        <w:rPr>
          <w:b/>
        </w:rPr>
      </w:pPr>
    </w:p>
    <w:p w14:paraId="5FE8C880" w14:textId="77777777" w:rsidR="005552E3" w:rsidRDefault="005552E3" w:rsidP="005552E3">
      <w:pPr>
        <w:spacing w:before="120" w:after="120"/>
        <w:jc w:val="both"/>
        <w:rPr>
          <w:sz w:val="22"/>
          <w:szCs w:val="22"/>
        </w:rPr>
      </w:pPr>
      <w:r w:rsidRPr="002B370E">
        <w:rPr>
          <w:sz w:val="22"/>
          <w:szCs w:val="22"/>
        </w:rPr>
        <w:t>Nuk do të përdoren kritere të tjera për dhënien e kontratës. Kriteret e dhënies së kontratës do të shqyrtohen në përputhje me kërkesat e përcaktuara në termat e referencës.</w:t>
      </w:r>
    </w:p>
    <w:p w14:paraId="0060BA3C" w14:textId="77777777" w:rsidR="005552E3" w:rsidRDefault="005552E3" w:rsidP="005552E3">
      <w:pPr>
        <w:spacing w:before="120" w:after="120"/>
        <w:jc w:val="both"/>
        <w:rPr>
          <w:sz w:val="22"/>
          <w:szCs w:val="22"/>
        </w:rPr>
      </w:pPr>
    </w:p>
    <w:p w14:paraId="19D53A35" w14:textId="77777777" w:rsidR="005552E3" w:rsidRPr="005552E3" w:rsidRDefault="005552E3" w:rsidP="005552E3">
      <w:pPr>
        <w:numPr>
          <w:ilvl w:val="0"/>
          <w:numId w:val="20"/>
        </w:numPr>
        <w:spacing w:before="120" w:after="120"/>
        <w:jc w:val="both"/>
        <w:rPr>
          <w:b/>
        </w:rPr>
      </w:pPr>
      <w:r w:rsidRPr="005552E3">
        <w:rPr>
          <w:b/>
        </w:rPr>
        <w:t>Vlerësimi i ofertave financiare</w:t>
      </w:r>
    </w:p>
    <w:p w14:paraId="2426D5C1" w14:textId="77777777" w:rsidR="005552E3" w:rsidRPr="002B370E" w:rsidRDefault="005552E3" w:rsidP="005552E3">
      <w:pPr>
        <w:spacing w:before="120" w:after="120"/>
        <w:jc w:val="both"/>
        <w:rPr>
          <w:sz w:val="22"/>
          <w:szCs w:val="22"/>
        </w:rPr>
      </w:pPr>
      <w:r w:rsidRPr="00496026">
        <w:rPr>
          <w:sz w:val="22"/>
          <w:szCs w:val="22"/>
        </w:rPr>
        <w:t>Pas përfundimit të vlerësimit teknik, do të hapen zarfet që përmbajnë ofertat financiare për ofertat që nuk u eliminuan gjatë vlerësimit teknik. Vetëm ato me një rezultat mesatar prej 65 pikësh ose më shumë do të merren në konsideratë për vlerësim të mëtejshëm.</w:t>
      </w:r>
    </w:p>
    <w:p w14:paraId="00E30E70" w14:textId="77777777" w:rsidR="005552E3" w:rsidRPr="005552E3" w:rsidRDefault="005552E3" w:rsidP="005552E3">
      <w:pPr>
        <w:numPr>
          <w:ilvl w:val="0"/>
          <w:numId w:val="20"/>
        </w:numPr>
        <w:spacing w:before="120" w:after="120"/>
        <w:jc w:val="both"/>
        <w:rPr>
          <w:b/>
        </w:rPr>
      </w:pPr>
      <w:r w:rsidRPr="005552E3">
        <w:rPr>
          <w:b/>
        </w:rPr>
        <w:t>Zgjedhja e ofertuesit të përzgjedhur</w:t>
      </w:r>
    </w:p>
    <w:p w14:paraId="21AD82A8" w14:textId="77777777" w:rsidR="005552E3" w:rsidRDefault="005552E3" w:rsidP="005552E3">
      <w:pPr>
        <w:spacing w:before="120" w:after="120"/>
        <w:jc w:val="both"/>
        <w:rPr>
          <w:sz w:val="22"/>
          <w:szCs w:val="22"/>
        </w:rPr>
      </w:pPr>
      <w:r w:rsidRPr="002B370E">
        <w:rPr>
          <w:sz w:val="22"/>
          <w:szCs w:val="22"/>
        </w:rPr>
        <w:t>Raporti më i mirë çmim-cilësi përcaktohet duke peshuar cilësinë teknike kundrejt çmimit në një bazë 80/20.</w:t>
      </w:r>
    </w:p>
    <w:p w14:paraId="187A21B4" w14:textId="77777777" w:rsidR="005552E3" w:rsidRPr="002B370E" w:rsidRDefault="005552E3" w:rsidP="005552E3">
      <w:pPr>
        <w:keepNext/>
        <w:spacing w:before="120" w:after="120"/>
        <w:jc w:val="both"/>
        <w:rPr>
          <w:b/>
          <w:sz w:val="22"/>
          <w:szCs w:val="22"/>
        </w:rPr>
      </w:pPr>
      <w:r w:rsidRPr="002B370E">
        <w:rPr>
          <w:b/>
          <w:sz w:val="22"/>
          <w:szCs w:val="22"/>
        </w:rPr>
        <w:t xml:space="preserve">12.4. </w:t>
      </w:r>
      <w:r>
        <w:rPr>
          <w:b/>
          <w:sz w:val="22"/>
          <w:szCs w:val="22"/>
        </w:rPr>
        <w:tab/>
      </w:r>
      <w:r w:rsidRPr="002B370E">
        <w:rPr>
          <w:b/>
          <w:sz w:val="22"/>
          <w:szCs w:val="22"/>
        </w:rPr>
        <w:t>Konfidencialiteti</w:t>
      </w:r>
    </w:p>
    <w:p w14:paraId="206BBDFD" w14:textId="77777777" w:rsidR="005552E3" w:rsidRPr="002B370E" w:rsidRDefault="005552E3" w:rsidP="005552E3">
      <w:pPr>
        <w:spacing w:before="120" w:after="120"/>
        <w:jc w:val="both"/>
        <w:rPr>
          <w:sz w:val="22"/>
          <w:szCs w:val="22"/>
        </w:rPr>
      </w:pPr>
      <w:r w:rsidRPr="002B370E">
        <w:rPr>
          <w:sz w:val="22"/>
          <w:szCs w:val="22"/>
        </w:rPr>
        <w:t>E gjithë procedura e vlerësimit është konfidenciale, në varësi të legjislacionit të autoritetit kontraktor mbi aksesin në dokumente. Vendimet e komisionit të vlerësimit janë kolektive dhe diskutimet e tij mbahen në seancë të mbyllur. Anëtarët e komisionit të vlerësimit janë të detyruar të ruajnë sekretin. Raportet e vlerësimit dhe të dhënat me shkrim janë vetëm për përdorim zyrtar dhe nuk mund t'u komunikohen as ofertuesve dhe as ndonjë pale tjetër përveç autoritetit kontraktor, Komisionit Evropian, Zyrës Evropiane Kundër Mashtrimit, Zyrës së Prokurorit Publik Evropian dhe Gjykatës Evropiane të Auditorëve.</w:t>
      </w:r>
    </w:p>
    <w:p w14:paraId="60644898" w14:textId="77777777" w:rsidR="005552E3" w:rsidRPr="002B370E" w:rsidRDefault="005552E3" w:rsidP="005552E3">
      <w:pPr>
        <w:keepNext/>
        <w:numPr>
          <w:ilvl w:val="0"/>
          <w:numId w:val="20"/>
        </w:numPr>
        <w:spacing w:before="120" w:after="120"/>
        <w:jc w:val="both"/>
        <w:rPr>
          <w:b/>
        </w:rPr>
      </w:pPr>
      <w:r w:rsidRPr="002B370E">
        <w:rPr>
          <w:b/>
        </w:rPr>
        <w:t>Klauzolat e etikës dhe kodi i sjelljes</w:t>
      </w:r>
    </w:p>
    <w:p w14:paraId="0241E1D3" w14:textId="77777777" w:rsidR="005552E3" w:rsidRPr="00695F78" w:rsidRDefault="005552E3" w:rsidP="005552E3">
      <w:pPr>
        <w:spacing w:before="120" w:after="120"/>
        <w:ind w:left="567" w:hanging="567"/>
        <w:jc w:val="both"/>
        <w:rPr>
          <w:sz w:val="22"/>
          <w:szCs w:val="22"/>
          <w:u w:val="single"/>
        </w:rPr>
      </w:pPr>
      <w:r w:rsidRPr="002B370E">
        <w:rPr>
          <w:sz w:val="22"/>
          <w:szCs w:val="22"/>
        </w:rPr>
        <w:t xml:space="preserve">a) </w:t>
      </w:r>
      <w:r w:rsidRPr="002B370E">
        <w:rPr>
          <w:sz w:val="22"/>
          <w:szCs w:val="22"/>
        </w:rPr>
        <w:tab/>
      </w:r>
      <w:r w:rsidRPr="00695F78">
        <w:rPr>
          <w:sz w:val="22"/>
          <w:szCs w:val="22"/>
          <w:u w:val="single"/>
        </w:rPr>
        <w:t>Mungesa e konfliktit të interesit</w:t>
      </w:r>
    </w:p>
    <w:p w14:paraId="34811B58" w14:textId="77777777" w:rsidR="005552E3" w:rsidRDefault="005552E3" w:rsidP="005552E3">
      <w:pPr>
        <w:spacing w:before="120" w:after="120"/>
        <w:ind w:left="567" w:hanging="567"/>
        <w:jc w:val="both"/>
        <w:rPr>
          <w:sz w:val="22"/>
          <w:szCs w:val="22"/>
        </w:rPr>
      </w:pPr>
      <w:r>
        <w:rPr>
          <w:sz w:val="22"/>
          <w:szCs w:val="22"/>
        </w:rPr>
        <w:t>Ofertuesi nuk duhet të preket nga ndonjë konflikt interesi dhe nuk duhet të ketë asnjë marrëdhënie të barabartë në këtë drejtim me ofertues të tjerë ose palë të përfshira në projekt. Çdo përpjekje nga një ofertues për të marrë informacion konfidencial, për të hyrë në marrëveshje të paligjshme me konkurrentët ose për të ndikuar në komisionin e vlerësimit ose autoritetin kontraktues gjatë procesit të shqyrtimit, sqarimit, vlerësimit dhe krahasimit të ofertave do të çojë në refuzimin e ofertës së tij dhe mund të rezultojë në gjoba administrative sipas Rregullores Financiare në fuqi.</w:t>
      </w:r>
    </w:p>
    <w:p w14:paraId="5802C195" w14:textId="77777777" w:rsidR="005552E3" w:rsidRDefault="005552E3" w:rsidP="005552E3">
      <w:pPr>
        <w:spacing w:before="120" w:after="120"/>
        <w:ind w:left="567" w:hanging="567"/>
        <w:jc w:val="both"/>
        <w:rPr>
          <w:sz w:val="22"/>
          <w:szCs w:val="22"/>
          <w:u w:val="single"/>
        </w:rPr>
      </w:pPr>
      <w:r w:rsidRPr="002B370E">
        <w:rPr>
          <w:sz w:val="22"/>
          <w:szCs w:val="22"/>
        </w:rPr>
        <w:t xml:space="preserve">b) </w:t>
      </w:r>
      <w:r w:rsidRPr="002B370E">
        <w:rPr>
          <w:sz w:val="22"/>
          <w:szCs w:val="22"/>
        </w:rPr>
        <w:tab/>
      </w:r>
      <w:r w:rsidRPr="00695F78">
        <w:rPr>
          <w:sz w:val="22"/>
          <w:szCs w:val="22"/>
          <w:u w:val="single"/>
        </w:rPr>
        <w:t>Respektimi i të drejtave të njeriut, si dhe legjislacionit mjedisor dhe standardeve themelore të punës</w:t>
      </w:r>
    </w:p>
    <w:p w14:paraId="7CC94DF6" w14:textId="77777777" w:rsidR="005552E3" w:rsidRDefault="005552E3" w:rsidP="005552E3">
      <w:pPr>
        <w:spacing w:before="120" w:after="120"/>
        <w:ind w:left="567" w:hanging="567"/>
        <w:jc w:val="both"/>
        <w:rPr>
          <w:sz w:val="22"/>
          <w:szCs w:val="22"/>
        </w:rPr>
      </w:pPr>
      <w:r w:rsidRPr="003C457E">
        <w:rPr>
          <w:sz w:val="22"/>
          <w:szCs w:val="22"/>
        </w:rPr>
        <w:t>Ofertuesi dhe personeli i tij duhet të jenë në përputhje me të drejtat e njeriut dhe rregullat përkatëse të mbrojtjes së të dhënave. Në veçanti dhe në përputhje me aktin bazë në fuqi, ofertuesit dhe aplikantët të cilëve u janë dhënë kontrata duhet të jenë në përputhje me legjislacionin mjedisor, duke përfshirë marrëveshjet shumëpalëshe mjedisore, dhe me standardet themelore të punës, siç zbatohen dhe siç përcaktohen në konventat përkatëse të Organizatës Ndërkombëtare të Punës (siç janë konventat mbi lirinë e shoqërimit dhe negociatat kolektive; eliminimin e punës së detyruar dhe të detyrueshme; heqjen e punës së fëmijëve).</w:t>
      </w:r>
    </w:p>
    <w:p w14:paraId="51C0D898" w14:textId="77777777" w:rsidR="005552E3" w:rsidRPr="00695F78" w:rsidRDefault="005552E3" w:rsidP="005552E3">
      <w:pPr>
        <w:pBdr>
          <w:top w:val="single" w:sz="4" w:space="1" w:color="auto"/>
          <w:left w:val="single" w:sz="4" w:space="4" w:color="auto"/>
          <w:bottom w:val="single" w:sz="4" w:space="1" w:color="auto"/>
          <w:right w:val="single" w:sz="4" w:space="4" w:color="auto"/>
        </w:pBdr>
        <w:spacing w:before="120" w:after="120"/>
        <w:ind w:left="567" w:hanging="567"/>
        <w:jc w:val="both"/>
        <w:rPr>
          <w:b/>
          <w:sz w:val="22"/>
          <w:szCs w:val="22"/>
        </w:rPr>
      </w:pPr>
      <w:r>
        <w:rPr>
          <w:sz w:val="22"/>
          <w:szCs w:val="22"/>
        </w:rPr>
        <w:t xml:space="preserve">        </w:t>
      </w:r>
      <w:r w:rsidRPr="00695F78">
        <w:rPr>
          <w:b/>
          <w:sz w:val="22"/>
          <w:szCs w:val="22"/>
        </w:rPr>
        <w:t>Tolerancë zero për shfrytëzimin, abuzimin dhe ngacmimin seksual:</w:t>
      </w:r>
    </w:p>
    <w:p w14:paraId="6E420D5E" w14:textId="77777777" w:rsidR="005552E3" w:rsidRPr="003C457E" w:rsidRDefault="005552E3" w:rsidP="005552E3">
      <w:pPr>
        <w:pBdr>
          <w:top w:val="single" w:sz="4" w:space="1" w:color="auto"/>
          <w:left w:val="single" w:sz="4" w:space="4" w:color="auto"/>
          <w:bottom w:val="single" w:sz="4" w:space="1" w:color="auto"/>
          <w:right w:val="single" w:sz="4" w:space="4" w:color="auto"/>
        </w:pBdr>
        <w:spacing w:before="120" w:after="120"/>
        <w:ind w:left="567" w:hanging="567"/>
        <w:jc w:val="both"/>
        <w:rPr>
          <w:sz w:val="22"/>
          <w:szCs w:val="22"/>
        </w:rPr>
      </w:pPr>
      <w:r>
        <w:rPr>
          <w:sz w:val="22"/>
          <w:szCs w:val="22"/>
        </w:rPr>
        <w:t>Komisioni Evropian zbaton një politikë të 'tolerancës zero' në lidhje me të gjitha sjelljet e gabuara që kanë ndikim në besueshmërinë profesionale të ofertuesit.</w:t>
      </w:r>
    </w:p>
    <w:p w14:paraId="7707BA4B" w14:textId="77777777" w:rsidR="005552E3" w:rsidRDefault="005552E3" w:rsidP="005552E3">
      <w:pPr>
        <w:pBdr>
          <w:top w:val="single" w:sz="4" w:space="1" w:color="auto"/>
          <w:left w:val="single" w:sz="4" w:space="4" w:color="auto"/>
          <w:bottom w:val="single" w:sz="4" w:space="1" w:color="auto"/>
          <w:right w:val="single" w:sz="4" w:space="4" w:color="auto"/>
        </w:pBdr>
        <w:spacing w:before="120" w:after="120"/>
        <w:ind w:left="567" w:hanging="567"/>
        <w:jc w:val="both"/>
        <w:rPr>
          <w:sz w:val="22"/>
          <w:szCs w:val="22"/>
        </w:rPr>
      </w:pPr>
      <w:r>
        <w:rPr>
          <w:sz w:val="22"/>
          <w:szCs w:val="22"/>
        </w:rPr>
        <w:t>Abuzimi ose ndëshkimi fizik, ose kërcënimet për abuzim fizik, abuzim ose shfrytëzim seksual, ngacmimi dhe abuzimi verbal, si dhe format e tjera të frikësimit, do të jenë të ndaluara.</w:t>
      </w:r>
    </w:p>
    <w:p w14:paraId="7E82C5DB" w14:textId="77777777" w:rsidR="005552E3" w:rsidRDefault="005552E3" w:rsidP="005552E3">
      <w:pPr>
        <w:spacing w:before="120" w:after="120"/>
        <w:ind w:left="567" w:hanging="567"/>
        <w:jc w:val="both"/>
        <w:rPr>
          <w:sz w:val="22"/>
          <w:szCs w:val="22"/>
        </w:rPr>
      </w:pPr>
      <w:r w:rsidRPr="002B370E" w:rsidDel="003C457E">
        <w:rPr>
          <w:sz w:val="22"/>
          <w:szCs w:val="22"/>
        </w:rPr>
        <w:t xml:space="preserve"> </w:t>
      </w:r>
      <w:r w:rsidRPr="002B370E">
        <w:rPr>
          <w:sz w:val="22"/>
          <w:szCs w:val="22"/>
        </w:rPr>
        <w:t xml:space="preserve">c) </w:t>
      </w:r>
      <w:r w:rsidRPr="002B370E">
        <w:rPr>
          <w:sz w:val="22"/>
          <w:szCs w:val="22"/>
        </w:rPr>
        <w:tab/>
      </w:r>
      <w:r w:rsidRPr="00695F78">
        <w:rPr>
          <w:sz w:val="22"/>
          <w:szCs w:val="22"/>
          <w:u w:val="single"/>
        </w:rPr>
        <w:t>Antikorrupsioni dhe anti-ryshfeti</w:t>
      </w:r>
      <w:r w:rsidRPr="004968C0">
        <w:rPr>
          <w:sz w:val="22"/>
          <w:szCs w:val="22"/>
        </w:rPr>
        <w:t xml:space="preserve"> </w:t>
      </w:r>
    </w:p>
    <w:p w14:paraId="79ED5113" w14:textId="77777777" w:rsidR="005552E3" w:rsidRPr="002B370E" w:rsidRDefault="005552E3" w:rsidP="005552E3">
      <w:pPr>
        <w:spacing w:before="120" w:after="120"/>
        <w:ind w:left="567" w:hanging="567"/>
        <w:jc w:val="both"/>
        <w:rPr>
          <w:sz w:val="22"/>
          <w:szCs w:val="22"/>
        </w:rPr>
      </w:pPr>
      <w:r>
        <w:rPr>
          <w:sz w:val="22"/>
          <w:szCs w:val="22"/>
        </w:rPr>
        <w:lastRenderedPageBreak/>
        <w:t xml:space="preserve">Ofertuesi duhet të përmbushë të gjitha ligjet, rregulloret dhe kodet në fuqi që lidhen me korrupsionin dhe korrupsionin. Komisioni Evropian rezervon të drejtën për të pezulluar ose </w:t>
      </w:r>
      <w:r w:rsidRPr="004968C0">
        <w:rPr>
          <w:sz w:val="22"/>
          <w:szCs w:val="22"/>
        </w:rPr>
        <w:t>anuluar financimin e projektit nëse zbulohen praktika korruptive të çdo lloji në çdo fazë të procesit të dhënies së kontratës ose gjatë ekzekutimit të një kontrate dhe nëse autoriteti kontraktues nuk arrin të marrë të gjitha masat e duhura për të korrigjuar situatën. Për qëllimet e këtij dispozite, "praktikat korruptive" janë ofrimi i një ryshfeti, dhurate, shpërblimi ose komisioni për çdo person si nxitje ose shpërblim për kryerjen ose moskryerjen e çdo veprimi që lidhet me dhënien e një kontrate ose ekzekutimin e një kontrate të lidhur tashmë me autoritetin kontraktues.</w:t>
      </w:r>
    </w:p>
    <w:p w14:paraId="204C431C" w14:textId="77777777" w:rsidR="005552E3" w:rsidRDefault="005552E3" w:rsidP="005552E3">
      <w:pPr>
        <w:spacing w:before="120" w:after="120"/>
        <w:ind w:left="567" w:hanging="567"/>
        <w:jc w:val="both"/>
        <w:rPr>
          <w:sz w:val="22"/>
          <w:szCs w:val="22"/>
        </w:rPr>
      </w:pPr>
      <w:r w:rsidRPr="002B370E">
        <w:rPr>
          <w:sz w:val="22"/>
          <w:szCs w:val="22"/>
        </w:rPr>
        <w:t xml:space="preserve">d) </w:t>
      </w:r>
      <w:r w:rsidRPr="002B370E">
        <w:rPr>
          <w:sz w:val="22"/>
          <w:szCs w:val="22"/>
        </w:rPr>
        <w:tab/>
      </w:r>
      <w:r w:rsidRPr="00695F78">
        <w:rPr>
          <w:sz w:val="22"/>
          <w:szCs w:val="22"/>
          <w:u w:val="single"/>
        </w:rPr>
        <w:t>Shpenzime të pazakonta komerciale</w:t>
      </w:r>
      <w:r w:rsidRPr="004968C0">
        <w:rPr>
          <w:sz w:val="22"/>
          <w:szCs w:val="22"/>
        </w:rPr>
        <w:t xml:space="preserve"> </w:t>
      </w:r>
    </w:p>
    <w:p w14:paraId="28B750BB" w14:textId="77777777" w:rsidR="005552E3" w:rsidRPr="004968C0" w:rsidRDefault="005552E3" w:rsidP="005552E3">
      <w:pPr>
        <w:spacing w:before="120" w:after="120"/>
        <w:ind w:left="567" w:hanging="567"/>
        <w:jc w:val="both"/>
        <w:rPr>
          <w:sz w:val="22"/>
          <w:szCs w:val="22"/>
        </w:rPr>
      </w:pPr>
      <w:r>
        <w:rPr>
          <w:sz w:val="22"/>
          <w:szCs w:val="22"/>
        </w:rPr>
        <w:t>Ofertat do të refuzohen ose kontratat do të ndërpriten nëse del se dhënia ose ekzekutimi i një kontrate ka shkaktuar shpenzime të pazakonta tregtare. Shpenzime të tilla të pazakonta tregtare janë komisionet që nuk përmenden në kontratën kryesore ose që nuk rrjedhin nga një kontratë e përfunduar siç duhet që i referohet kontratës kryesore, komisionet që nuk paguhen në këmbim të ndonjë shërbimi aktual dhe legjitim, komisionet e dërguara në një parajsë tatimore, komisionet e paguara një përfituesi që nuk është identifikuar qartë ose komisionet e paguara një kompanie që ka çdo pamje të të qenit një kompani fasadë.</w:t>
      </w:r>
    </w:p>
    <w:p w14:paraId="1BA0DB52" w14:textId="77777777" w:rsidR="005552E3" w:rsidRPr="002B370E" w:rsidRDefault="005552E3" w:rsidP="005552E3">
      <w:pPr>
        <w:spacing w:before="120" w:after="120"/>
        <w:ind w:left="567" w:hanging="567"/>
        <w:jc w:val="both"/>
        <w:rPr>
          <w:sz w:val="22"/>
          <w:szCs w:val="22"/>
        </w:rPr>
      </w:pPr>
      <w:r>
        <w:rPr>
          <w:sz w:val="22"/>
          <w:szCs w:val="22"/>
        </w:rPr>
        <w:t>Kontraktorët që zbulohen se kanë paguar shpenzime të pazakonta komerciale për projekte të financuara nga Bashkimi Evropian janë përgjegjës, varësisht nga serioziteti i fakteve të vëzhguara, për t'u ndërprerë kontratat ose për t'u përjashtuar përgjithmonë nga marrja e fondeve të BE-së.</w:t>
      </w:r>
    </w:p>
    <w:p w14:paraId="050A93E9" w14:textId="77777777" w:rsidR="005552E3" w:rsidRDefault="005552E3" w:rsidP="005552E3">
      <w:pPr>
        <w:spacing w:before="120" w:after="120"/>
        <w:ind w:left="567" w:hanging="567"/>
        <w:jc w:val="both"/>
        <w:rPr>
          <w:sz w:val="22"/>
          <w:szCs w:val="22"/>
          <w:u w:val="single"/>
        </w:rPr>
      </w:pPr>
      <w:r w:rsidRPr="002B370E">
        <w:rPr>
          <w:sz w:val="22"/>
          <w:szCs w:val="22"/>
        </w:rPr>
        <w:t xml:space="preserve">e) </w:t>
      </w:r>
      <w:r w:rsidRPr="002B370E">
        <w:rPr>
          <w:sz w:val="22"/>
          <w:szCs w:val="22"/>
        </w:rPr>
        <w:tab/>
      </w:r>
      <w:r w:rsidRPr="00695F78">
        <w:rPr>
          <w:sz w:val="22"/>
          <w:szCs w:val="22"/>
          <w:u w:val="single"/>
        </w:rPr>
        <w:t>Shkelja e detyrimeve, parregullsitë ose mashtrimi</w:t>
      </w:r>
    </w:p>
    <w:p w14:paraId="01D91130" w14:textId="77777777" w:rsidR="005552E3" w:rsidRDefault="005552E3" w:rsidP="005552E3">
      <w:pPr>
        <w:spacing w:before="120" w:after="120"/>
        <w:ind w:left="567" w:hanging="567"/>
        <w:jc w:val="both"/>
        <w:rPr>
          <w:sz w:val="22"/>
          <w:szCs w:val="22"/>
        </w:rPr>
      </w:pPr>
      <w:r>
        <w:rPr>
          <w:sz w:val="22"/>
          <w:szCs w:val="22"/>
        </w:rPr>
        <w:t>Autoriteti kontraktor rezervon të drejtën për të pezulluar ose anuluar procedurën, kur procedura e dhënies së kontratës provon se ka qenë subjekt i shkeljes së detyrimeve, parregullsive ose mashtrimit. Nëse zbulohen shkelje të detyrimeve, parregullsive ose mashtrimit pas dhënies së kontratës, autoriteti kontraktor mund të përmbahet nga lidhja e kontratës.</w:t>
      </w:r>
      <w:r w:rsidRPr="002B370E" w:rsidDel="004968C0">
        <w:rPr>
          <w:sz w:val="22"/>
          <w:szCs w:val="22"/>
        </w:rPr>
        <w:t xml:space="preserve"> </w:t>
      </w:r>
      <w:r>
        <w:rPr>
          <w:sz w:val="22"/>
          <w:szCs w:val="22"/>
        </w:rPr>
        <w:t xml:space="preserve"> </w:t>
      </w:r>
    </w:p>
    <w:p w14:paraId="7F75131C" w14:textId="77777777" w:rsidR="005552E3" w:rsidRPr="008F2B98" w:rsidRDefault="005552E3" w:rsidP="005552E3">
      <w:pPr>
        <w:spacing w:before="120" w:after="120"/>
        <w:ind w:left="567" w:hanging="567"/>
        <w:jc w:val="both"/>
        <w:rPr>
          <w:b/>
        </w:rPr>
      </w:pPr>
      <w:r w:rsidRPr="00695F78">
        <w:rPr>
          <w:b/>
          <w:sz w:val="22"/>
          <w:szCs w:val="22"/>
        </w:rPr>
        <w:t xml:space="preserve">14. </w:t>
      </w:r>
      <w:r w:rsidRPr="008F2B98">
        <w:rPr>
          <w:b/>
        </w:rPr>
        <w:t>Nënshkrimi i kontratës/kontratave</w:t>
      </w:r>
    </w:p>
    <w:p w14:paraId="496B0D9D" w14:textId="77777777" w:rsidR="005552E3" w:rsidRPr="002B370E" w:rsidRDefault="005552E3" w:rsidP="005552E3">
      <w:pPr>
        <w:keepNext/>
        <w:spacing w:before="120" w:after="120"/>
        <w:ind w:left="567" w:hanging="567"/>
        <w:jc w:val="both"/>
        <w:rPr>
          <w:b/>
          <w:sz w:val="22"/>
          <w:szCs w:val="22"/>
        </w:rPr>
      </w:pPr>
      <w:r w:rsidRPr="002B370E">
        <w:rPr>
          <w:b/>
          <w:sz w:val="22"/>
          <w:szCs w:val="22"/>
        </w:rPr>
        <w:t xml:space="preserve">14.1. </w:t>
      </w:r>
      <w:r w:rsidRPr="002B370E">
        <w:rPr>
          <w:b/>
          <w:sz w:val="22"/>
          <w:szCs w:val="22"/>
        </w:rPr>
        <w:tab/>
        <w:t>Njoftimi i dhënies së vendimit</w:t>
      </w:r>
    </w:p>
    <w:p w14:paraId="2AF614EE" w14:textId="77777777" w:rsidR="005552E3" w:rsidRPr="002B370E" w:rsidRDefault="005552E3" w:rsidP="005552E3">
      <w:pPr>
        <w:keepNext/>
        <w:spacing w:before="120" w:after="120"/>
        <w:jc w:val="both"/>
        <w:rPr>
          <w:sz w:val="22"/>
          <w:szCs w:val="22"/>
        </w:rPr>
      </w:pPr>
      <w:r w:rsidRPr="00496026">
        <w:rPr>
          <w:sz w:val="22"/>
          <w:szCs w:val="22"/>
        </w:rPr>
        <w:t>Ofertuesit do të njoftohen me shkrim për rezultatin e kësaj procedure prokurimi.</w:t>
      </w:r>
    </w:p>
    <w:p w14:paraId="3D8DC095" w14:textId="77777777" w:rsidR="005552E3" w:rsidRPr="002B370E" w:rsidRDefault="005552E3" w:rsidP="005552E3">
      <w:pPr>
        <w:keepNext/>
        <w:spacing w:before="120" w:after="120"/>
        <w:ind w:left="567" w:hanging="567"/>
        <w:jc w:val="both"/>
        <w:rPr>
          <w:b/>
          <w:sz w:val="22"/>
          <w:szCs w:val="22"/>
          <w:u w:val="single"/>
        </w:rPr>
      </w:pPr>
      <w:r w:rsidRPr="002B370E">
        <w:rPr>
          <w:b/>
          <w:sz w:val="22"/>
          <w:szCs w:val="22"/>
        </w:rPr>
        <w:t xml:space="preserve">14.2. </w:t>
      </w:r>
      <w:r w:rsidRPr="002B370E">
        <w:rPr>
          <w:b/>
          <w:sz w:val="22"/>
          <w:szCs w:val="22"/>
        </w:rPr>
        <w:tab/>
        <w:t>Nënshkrimi i kontratës/kontratave</w:t>
      </w:r>
    </w:p>
    <w:p w14:paraId="0221F0F8" w14:textId="77777777" w:rsidR="005552E3" w:rsidRPr="002B370E" w:rsidRDefault="005552E3" w:rsidP="005552E3">
      <w:pPr>
        <w:pStyle w:val="BodyText2"/>
        <w:tabs>
          <w:tab w:val="left" w:pos="0"/>
          <w:tab w:val="left" w:pos="630"/>
        </w:tabs>
        <w:spacing w:before="120"/>
        <w:rPr>
          <w:sz w:val="22"/>
          <w:szCs w:val="22"/>
        </w:rPr>
      </w:pPr>
      <w:r w:rsidRPr="002B370E">
        <w:rPr>
          <w:sz w:val="22"/>
          <w:szCs w:val="22"/>
        </w:rPr>
        <w:t>Brenda 5 ditëve nga marrja e kontratës së nënshkruar tashmë nga autoriteti kontraktor, ofertuesi i përzgjedhur duhet ta nënshkruajë dhe t'i vërë datën kontratës dhe ta kthejë atë te autoriteti kontraktor.</w:t>
      </w:r>
    </w:p>
    <w:p w14:paraId="6B260F97" w14:textId="77777777" w:rsidR="005552E3" w:rsidRPr="002B370E" w:rsidRDefault="005552E3" w:rsidP="005552E3">
      <w:pPr>
        <w:pStyle w:val="BodyText2"/>
        <w:tabs>
          <w:tab w:val="left" w:pos="0"/>
          <w:tab w:val="left" w:pos="630"/>
        </w:tabs>
        <w:spacing w:before="120"/>
        <w:rPr>
          <w:sz w:val="22"/>
          <w:szCs w:val="22"/>
        </w:rPr>
      </w:pPr>
      <w:r w:rsidRPr="002B370E">
        <w:rPr>
          <w:sz w:val="22"/>
          <w:szCs w:val="22"/>
        </w:rPr>
        <w:t>Mosrespektimi i këtij kërkese nga ofertuesi i përzgjedhur mund të përbëjë bazë për anulimin e vendimit për dhënien e kontratës. Në këtë rast, autoriteti kontraktor mund t'ia japë tenderin një ofertuesi tjetër ose të anulojë procedurën e tenderit.</w:t>
      </w:r>
    </w:p>
    <w:p w14:paraId="2E310839" w14:textId="77777777" w:rsidR="005552E3" w:rsidRDefault="005552E3" w:rsidP="005552E3">
      <w:pPr>
        <w:pStyle w:val="BodyText2"/>
        <w:tabs>
          <w:tab w:val="left" w:pos="0"/>
          <w:tab w:val="left" w:pos="630"/>
        </w:tabs>
        <w:spacing w:before="120"/>
        <w:rPr>
          <w:rStyle w:val="Style11pt"/>
        </w:rPr>
      </w:pPr>
      <w:r w:rsidRPr="002B370E">
        <w:rPr>
          <w:sz w:val="22"/>
          <w:szCs w:val="22"/>
        </w:rPr>
        <w:t xml:space="preserve">Ofertuesit e tjerë, në të njëjtën kohë me dorëzimin e njoftimit të dhënies së kontratës, do të informohen se ofertat e tyre nuk janë ruajtur, me mjete elektronike ose me letër standarde, duke përfshirë një tregues të dobësive relative të ofertës së tyre me anë të një tabele krahasuese të pikëve për ofertën fituese dhe ofertën e pasuksesshme. Ofertuesi </w:t>
      </w:r>
      <w:r>
        <w:t xml:space="preserve">i </w:t>
      </w:r>
      <w:r w:rsidRPr="008062AA">
        <w:rPr>
          <w:rStyle w:val="Style11pt"/>
          <w:szCs w:val="22"/>
        </w:rPr>
        <w:t xml:space="preserve">dytë </w:t>
      </w:r>
      <w:r>
        <w:rPr>
          <w:rStyle w:val="Style11pt"/>
        </w:rPr>
        <w:t xml:space="preserve">më i mirë informohet për </w:t>
      </w:r>
      <w:r>
        <w:rPr>
          <w:rStyle w:val="Style11pt"/>
        </w:rPr>
        <w:lastRenderedPageBreak/>
        <w:t>njoftimin e dhënies së kontratës për ofertuesin e suksesshëm me rezervën e mundësisë për të marrë një njoftim dhënieje në rast të pamundësisë për të nënshkruar kontratën me ofertuesin e renditur i pari. Ofertuesi i dytë mund të refuzojë dhënien e kontratës nëse, kur merr një njoftim dhënieje, 90 ditët e vlefshmërisë së ofertës së tyre kanë skaduar.</w:t>
      </w:r>
    </w:p>
    <w:p w14:paraId="2A15408F" w14:textId="77777777" w:rsidR="005552E3" w:rsidRPr="00F11E9B" w:rsidRDefault="005552E3" w:rsidP="005552E3">
      <w:pPr>
        <w:pStyle w:val="Style11ptJustifiedAfter12pt"/>
      </w:pPr>
      <w:r w:rsidRPr="00083096">
        <w:rPr>
          <w:rStyle w:val="Style11pt"/>
        </w:rPr>
        <w:t xml:space="preserve">Autoriteti kontraktues, në të njëjtën kohë, do të informojë gjithashtu ofertuesit e mbetur të pasuksesshëm për rezultatin e procedurës së prokurimit dhe, </w:t>
      </w:r>
      <w:r>
        <w:rPr>
          <w:rStyle w:val="Style11pt"/>
        </w:rPr>
        <w:t xml:space="preserve">si pasojë </w:t>
      </w:r>
      <w:r w:rsidRPr="00083096">
        <w:rPr>
          <w:rStyle w:val="Style11pt"/>
        </w:rPr>
        <w:t>e këtyre letrave, vlefshmëria e ofertave të tyre nuk do të ruhet.</w:t>
      </w:r>
    </w:p>
    <w:p w14:paraId="0C5A7D3A" w14:textId="77777777" w:rsidR="005552E3" w:rsidRDefault="005552E3" w:rsidP="005552E3">
      <w:pPr>
        <w:keepNext/>
        <w:spacing w:before="120" w:after="120"/>
        <w:jc w:val="both"/>
      </w:pPr>
      <w:r>
        <w:rPr>
          <w:b/>
        </w:rPr>
        <w:t>15. Anulimi i procedurës së tenderit</w:t>
      </w:r>
    </w:p>
    <w:p w14:paraId="0682D44B" w14:textId="77777777" w:rsidR="005552E3" w:rsidRDefault="005552E3" w:rsidP="005552E3">
      <w:pPr>
        <w:pStyle w:val="BodyText2"/>
        <w:tabs>
          <w:tab w:val="left" w:pos="0"/>
          <w:tab w:val="left" w:pos="630"/>
        </w:tabs>
        <w:spacing w:before="120"/>
        <w:rPr>
          <w:sz w:val="22"/>
          <w:szCs w:val="22"/>
        </w:rPr>
      </w:pPr>
      <w:r w:rsidRPr="002B370E">
        <w:rPr>
          <w:sz w:val="22"/>
          <w:szCs w:val="22"/>
        </w:rPr>
        <w:t>Në rast të anulimit të procedurës së tenderit, autoriteti kontraktor do t'i njoftojë ofertuesit për anulimin.</w:t>
      </w:r>
    </w:p>
    <w:p w14:paraId="6416F9E4" w14:textId="77777777" w:rsidR="005552E3" w:rsidRPr="002B370E" w:rsidRDefault="005552E3" w:rsidP="005552E3">
      <w:pPr>
        <w:pStyle w:val="BodyText2"/>
        <w:tabs>
          <w:tab w:val="left" w:pos="0"/>
          <w:tab w:val="left" w:pos="630"/>
        </w:tabs>
        <w:spacing w:before="120"/>
        <w:rPr>
          <w:sz w:val="22"/>
          <w:szCs w:val="22"/>
        </w:rPr>
      </w:pPr>
      <w:r w:rsidRPr="00496026">
        <w:rPr>
          <w:sz w:val="22"/>
          <w:szCs w:val="22"/>
        </w:rPr>
        <w:t>Nëse procedura e tenderit anulohet përpara se të hapet zarfi i jashtëm i ndonjë oferte, zarfet e pahapura dhe të vulosura do t'u kthehen ofertuesve.</w:t>
      </w:r>
    </w:p>
    <w:p w14:paraId="607D85F4" w14:textId="77777777" w:rsidR="005552E3" w:rsidRPr="002B370E" w:rsidRDefault="005552E3" w:rsidP="005552E3">
      <w:pPr>
        <w:pStyle w:val="BodyText2"/>
        <w:tabs>
          <w:tab w:val="left" w:pos="0"/>
          <w:tab w:val="left" w:pos="630"/>
        </w:tabs>
        <w:spacing w:before="120"/>
        <w:rPr>
          <w:sz w:val="22"/>
          <w:szCs w:val="22"/>
        </w:rPr>
      </w:pPr>
      <w:r w:rsidRPr="002B370E">
        <w:rPr>
          <w:sz w:val="22"/>
          <w:szCs w:val="22"/>
        </w:rPr>
        <w:t>Anulimi mund të ndodhë, për shembull, kur:</w:t>
      </w:r>
    </w:p>
    <w:p w14:paraId="4A88D195" w14:textId="77777777" w:rsidR="005552E3" w:rsidRPr="002B370E" w:rsidRDefault="005552E3" w:rsidP="005552E3">
      <w:pPr>
        <w:pStyle w:val="BodyText2"/>
        <w:numPr>
          <w:ilvl w:val="0"/>
          <w:numId w:val="26"/>
        </w:numPr>
        <w:tabs>
          <w:tab w:val="left" w:pos="0"/>
          <w:tab w:val="left" w:pos="630"/>
        </w:tabs>
        <w:spacing w:before="120" w:line="240" w:lineRule="auto"/>
        <w:jc w:val="both"/>
        <w:rPr>
          <w:sz w:val="22"/>
          <w:szCs w:val="22"/>
        </w:rPr>
      </w:pPr>
      <w:r w:rsidRPr="002B370E">
        <w:rPr>
          <w:sz w:val="22"/>
          <w:szCs w:val="22"/>
        </w:rPr>
        <w:t>procedura e tenderit ka qenë e pasuksesshme, d.m.th. nuk është marrë asnjë ofertë e përshtatshme, cilësisht ose financiarisht e pranueshme ose nuk ka asnjë përgjigje të vlefshme;</w:t>
      </w:r>
    </w:p>
    <w:p w14:paraId="7DDD2933" w14:textId="77777777" w:rsidR="005552E3" w:rsidRPr="002B370E" w:rsidRDefault="005552E3" w:rsidP="005552E3">
      <w:pPr>
        <w:pStyle w:val="BodyText2"/>
        <w:numPr>
          <w:ilvl w:val="0"/>
          <w:numId w:val="26"/>
        </w:numPr>
        <w:tabs>
          <w:tab w:val="left" w:pos="0"/>
          <w:tab w:val="left" w:pos="630"/>
        </w:tabs>
        <w:spacing w:before="120" w:line="240" w:lineRule="auto"/>
        <w:jc w:val="both"/>
        <w:rPr>
          <w:sz w:val="22"/>
          <w:szCs w:val="22"/>
        </w:rPr>
      </w:pPr>
      <w:r w:rsidRPr="002B370E">
        <w:rPr>
          <w:sz w:val="22"/>
          <w:szCs w:val="22"/>
        </w:rPr>
        <w:t>ka ndryshime thelbësore në të dhënat ekonomike ose teknike të projektit;</w:t>
      </w:r>
    </w:p>
    <w:p w14:paraId="28829532" w14:textId="77777777" w:rsidR="005552E3" w:rsidRPr="002B370E" w:rsidRDefault="005552E3" w:rsidP="005552E3">
      <w:pPr>
        <w:pStyle w:val="BodyText2"/>
        <w:numPr>
          <w:ilvl w:val="0"/>
          <w:numId w:val="26"/>
        </w:numPr>
        <w:tabs>
          <w:tab w:val="left" w:pos="0"/>
          <w:tab w:val="left" w:pos="630"/>
        </w:tabs>
        <w:spacing w:before="120" w:line="240" w:lineRule="auto"/>
        <w:jc w:val="both"/>
        <w:rPr>
          <w:sz w:val="22"/>
          <w:szCs w:val="22"/>
        </w:rPr>
      </w:pPr>
      <w:r w:rsidRPr="002B370E">
        <w:rPr>
          <w:sz w:val="22"/>
          <w:szCs w:val="22"/>
        </w:rPr>
        <w:t>rrethana të jashtëzakonshme ose forcë madhore e bëjnë të pamundur ekzekutimin normal të kontratës;</w:t>
      </w:r>
    </w:p>
    <w:p w14:paraId="34A268D2" w14:textId="77777777" w:rsidR="005552E3" w:rsidRPr="002B370E" w:rsidRDefault="005552E3" w:rsidP="005552E3">
      <w:pPr>
        <w:pStyle w:val="BodyText2"/>
        <w:numPr>
          <w:ilvl w:val="0"/>
          <w:numId w:val="26"/>
        </w:numPr>
        <w:tabs>
          <w:tab w:val="left" w:pos="0"/>
          <w:tab w:val="left" w:pos="630"/>
        </w:tabs>
        <w:spacing w:before="120" w:line="240" w:lineRule="auto"/>
        <w:jc w:val="both"/>
        <w:rPr>
          <w:sz w:val="22"/>
          <w:szCs w:val="22"/>
        </w:rPr>
      </w:pPr>
      <w:r w:rsidRPr="002B370E">
        <w:rPr>
          <w:sz w:val="22"/>
          <w:szCs w:val="22"/>
        </w:rPr>
        <w:t>të gjitha ofertat teknikisht të pranueshme i tejkalojnë burimet financiare në dispozicion;</w:t>
      </w:r>
    </w:p>
    <w:p w14:paraId="559C08F8" w14:textId="77777777" w:rsidR="005552E3" w:rsidRPr="002B370E" w:rsidRDefault="005552E3" w:rsidP="005552E3">
      <w:pPr>
        <w:pStyle w:val="BodyText2"/>
        <w:numPr>
          <w:ilvl w:val="0"/>
          <w:numId w:val="26"/>
        </w:numPr>
        <w:tabs>
          <w:tab w:val="left" w:pos="0"/>
          <w:tab w:val="left" w:pos="630"/>
        </w:tabs>
        <w:spacing w:before="120" w:line="240" w:lineRule="auto"/>
        <w:jc w:val="both"/>
        <w:rPr>
          <w:sz w:val="22"/>
          <w:szCs w:val="22"/>
        </w:rPr>
      </w:pPr>
      <w:r w:rsidRPr="002B370E">
        <w:rPr>
          <w:sz w:val="22"/>
          <w:szCs w:val="22"/>
        </w:rPr>
        <w:t>ka pasur shkelje të detyrimeve, parregullsi ose mashtrime në procedurë, veçanërisht nëse ato kanë penguar konkurrencën e ndershme;</w:t>
      </w:r>
    </w:p>
    <w:p w14:paraId="5E10F346" w14:textId="77777777" w:rsidR="005552E3" w:rsidRPr="002B370E" w:rsidRDefault="005552E3" w:rsidP="005552E3">
      <w:pPr>
        <w:pStyle w:val="BodyText2"/>
        <w:numPr>
          <w:ilvl w:val="0"/>
          <w:numId w:val="26"/>
        </w:numPr>
        <w:tabs>
          <w:tab w:val="left" w:pos="0"/>
          <w:tab w:val="left" w:pos="630"/>
        </w:tabs>
        <w:spacing w:before="120" w:line="240" w:lineRule="auto"/>
        <w:jc w:val="both"/>
        <w:rPr>
          <w:sz w:val="22"/>
          <w:szCs w:val="22"/>
        </w:rPr>
      </w:pPr>
      <w:r w:rsidRPr="002B370E">
        <w:rPr>
          <w:sz w:val="22"/>
          <w:szCs w:val="22"/>
        </w:rPr>
        <w:t>dhënia e kontratës nuk është në përputhje me menaxhimin e shëndoshë financiar, d.m.th. nuk respekton parimet e ekonomisë, efikasitetit dhe efektivitetit (p.sh. çmimi i propozuar nga ofertuesi të cilit do t'i jepet kontrata është objektivisht joproporcional në lidhje me çmimin e tregut).</w:t>
      </w:r>
    </w:p>
    <w:p w14:paraId="4B51B4D2" w14:textId="77777777" w:rsidR="005552E3" w:rsidRPr="002B370E" w:rsidRDefault="005552E3" w:rsidP="005552E3">
      <w:pPr>
        <w:pStyle w:val="BodyText2"/>
        <w:tabs>
          <w:tab w:val="left" w:pos="0"/>
          <w:tab w:val="left" w:pos="630"/>
        </w:tabs>
        <w:spacing w:before="120"/>
        <w:rPr>
          <w:bCs/>
          <w:sz w:val="22"/>
          <w:szCs w:val="22"/>
        </w:rPr>
      </w:pPr>
      <w:r w:rsidRPr="002B370E">
        <w:rPr>
          <w:bCs/>
          <w:sz w:val="22"/>
          <w:szCs w:val="22"/>
        </w:rPr>
        <w:t>Në asnjë rast autoriteti kontraktor nuk do të jetë përgjegjës për asnjë dëm, duke përfshirë, pa kufizim, dëmet për humbjen e fitimeve, në çfarëdo mënyre të lidhur me anulimin e një procedure tenderimi, edhe nëse autoriteti kontraktor është njoftuar për mundësinë e dëmeve. Publikimi i një njoftimi kontrate nuk e detyron autoritetin kontraktor të zbatojë programin ose projektin e shpallur.</w:t>
      </w:r>
    </w:p>
    <w:p w14:paraId="1892C7D0" w14:textId="77777777" w:rsidR="005552E3" w:rsidRPr="002B370E" w:rsidRDefault="005552E3" w:rsidP="005552E3">
      <w:pPr>
        <w:keepNext/>
        <w:keepLines/>
        <w:spacing w:before="120" w:after="120"/>
        <w:jc w:val="both"/>
        <w:rPr>
          <w:b/>
        </w:rPr>
      </w:pPr>
      <w:r>
        <w:rPr>
          <w:b/>
        </w:rPr>
        <w:lastRenderedPageBreak/>
        <w:t xml:space="preserve">16. </w:t>
      </w:r>
      <w:r w:rsidRPr="002B370E">
        <w:rPr>
          <w:b/>
        </w:rPr>
        <w:t>Ankesat</w:t>
      </w:r>
    </w:p>
    <w:p w14:paraId="52084323" w14:textId="77777777" w:rsidR="005552E3" w:rsidRPr="002B370E" w:rsidRDefault="005552E3" w:rsidP="005552E3">
      <w:pPr>
        <w:pStyle w:val="BodyText2"/>
        <w:keepNext/>
        <w:keepLines/>
        <w:tabs>
          <w:tab w:val="left" w:pos="0"/>
          <w:tab w:val="left" w:pos="630"/>
        </w:tabs>
        <w:spacing w:before="120"/>
        <w:rPr>
          <w:sz w:val="22"/>
          <w:szCs w:val="22"/>
        </w:rPr>
      </w:pPr>
      <w:r w:rsidRPr="002B370E">
        <w:rPr>
          <w:sz w:val="22"/>
          <w:szCs w:val="22"/>
        </w:rPr>
        <w:t>Ofertuesit që besojnë se janë dëmtuar nga një gabim ose parregullsi gjatë procesit të dhënies së kontratës mund të paraqesin një ankesë pranë Autoritetit Kontraktor.</w:t>
      </w:r>
    </w:p>
    <w:p w14:paraId="220487FC" w14:textId="77777777" w:rsidR="005552E3" w:rsidRPr="00D54FCF" w:rsidRDefault="005552E3" w:rsidP="005552E3">
      <w:pPr>
        <w:keepNext/>
        <w:spacing w:before="120" w:after="120"/>
        <w:jc w:val="both"/>
        <w:rPr>
          <w:b/>
          <w:bCs/>
        </w:rPr>
      </w:pPr>
      <w:r w:rsidRPr="00D54FCF">
        <w:rPr>
          <w:b/>
          <w:bCs/>
        </w:rPr>
        <w:t>17. Mbrojtja e të Dhënave</w:t>
      </w:r>
    </w:p>
    <w:p w14:paraId="22E1821A" w14:textId="77777777" w:rsidR="005552E3" w:rsidRPr="001B3873" w:rsidRDefault="005552E3" w:rsidP="005552E3">
      <w:pPr>
        <w:spacing w:before="120"/>
        <w:jc w:val="both"/>
        <w:rPr>
          <w:sz w:val="22"/>
          <w:szCs w:val="22"/>
        </w:rPr>
      </w:pPr>
      <w:r w:rsidRPr="001B3873">
        <w:rPr>
          <w:sz w:val="22"/>
          <w:szCs w:val="22"/>
        </w:rPr>
        <w:t>Përpunimi i të dhënave personale që lidhen me këtë procedurë tenderimi nga autoriteti kontraktor kryhet në përputhje me legjislacionin kombëtar të shtetit të autoritetit kontraktor dhe me dispozitat e marrëveshjes përkatëse të financimit.</w:t>
      </w:r>
    </w:p>
    <w:p w14:paraId="4048D1B9" w14:textId="77777777" w:rsidR="005552E3" w:rsidRPr="001B3873" w:rsidRDefault="005552E3" w:rsidP="005552E3">
      <w:pPr>
        <w:ind w:left="720"/>
        <w:rPr>
          <w:sz w:val="22"/>
          <w:szCs w:val="22"/>
        </w:rPr>
      </w:pPr>
    </w:p>
    <w:p w14:paraId="44A27B7A" w14:textId="77777777" w:rsidR="005552E3" w:rsidRPr="00D54FCF" w:rsidRDefault="005552E3" w:rsidP="005552E3">
      <w:pPr>
        <w:jc w:val="both"/>
        <w:rPr>
          <w:sz w:val="22"/>
          <w:szCs w:val="22"/>
        </w:rPr>
      </w:pPr>
      <w:r w:rsidRPr="001B3873">
        <w:rPr>
          <w:sz w:val="22"/>
          <w:szCs w:val="22"/>
        </w:rPr>
        <w:t>Në rastet kur ju përpunoni të dhëna personale në kontekstin e pjesëmarrjes në një tender (p.sh. CV-të e ekspertëve kryesorë dhe teknikë) dhe/ose zbatimit të një kontrate (p.sh. zëvendësimi i ekspertëve), ju duhet të informoni subjektet e të dhënave në lidhje me transmetimin e mundshëm të të dhënave të tyre në institucionet dhe organet e BE-së dhe t'u komunikoni atyre deklaratën e privatësisë të përmendur më sipër.</w:t>
      </w:r>
    </w:p>
    <w:p w14:paraId="2867C5EC" w14:textId="77777777" w:rsidR="005552E3" w:rsidRPr="00AD64B5" w:rsidRDefault="005552E3" w:rsidP="005552E3">
      <w:pPr>
        <w:spacing w:after="60"/>
        <w:jc w:val="both"/>
        <w:rPr>
          <w:sz w:val="22"/>
          <w:szCs w:val="22"/>
        </w:rPr>
      </w:pPr>
    </w:p>
    <w:p w14:paraId="3020B6F7" w14:textId="77777777" w:rsidR="005552E3" w:rsidRPr="002B370E" w:rsidRDefault="005552E3" w:rsidP="005552E3">
      <w:pPr>
        <w:spacing w:before="120" w:after="120"/>
        <w:jc w:val="both"/>
        <w:rPr>
          <w:sz w:val="22"/>
          <w:szCs w:val="22"/>
        </w:rPr>
      </w:pPr>
    </w:p>
    <w:p w14:paraId="7217FF77" w14:textId="77777777" w:rsidR="00A77B4A" w:rsidRDefault="00A77B4A" w:rsidP="00A77B4A">
      <w:pPr>
        <w:spacing w:after="200" w:line="276" w:lineRule="auto"/>
        <w:rPr>
          <w:lang w:val="en-US"/>
        </w:rPr>
      </w:pPr>
      <w:r w:rsidRPr="00A77B4A">
        <w:rPr>
          <w:lang w:val="en-US"/>
        </w:rPr>
        <w:t>Për më shumë informacion dhe kohëzgjatjen e detyrës, ju lutemi referojuni Termave të Referencës (TOR).</w:t>
      </w:r>
    </w:p>
    <w:p w14:paraId="08491D51" w14:textId="77777777" w:rsidR="00FD6703" w:rsidRDefault="00FD6703" w:rsidP="00A77B4A">
      <w:pPr>
        <w:spacing w:after="200" w:line="276" w:lineRule="auto"/>
        <w:rPr>
          <w:lang w:val="en-US"/>
        </w:rPr>
      </w:pPr>
    </w:p>
    <w:p w14:paraId="57022B12" w14:textId="4B34EB6C" w:rsidR="00FD6703" w:rsidRDefault="00FD6703" w:rsidP="00A77B4A">
      <w:pPr>
        <w:spacing w:after="200" w:line="276" w:lineRule="auto"/>
        <w:rPr>
          <w:lang w:val="en-US"/>
        </w:rPr>
      </w:pPr>
      <w:r>
        <w:rPr>
          <w:lang w:val="en-US"/>
        </w:rPr>
        <w:t>Dokumentet për Aplikim :</w:t>
      </w:r>
    </w:p>
    <w:p w14:paraId="422669EE" w14:textId="661F5018" w:rsidR="00FD6703" w:rsidRPr="00A77B4A" w:rsidRDefault="00FD6703" w:rsidP="00A77B4A">
      <w:pPr>
        <w:spacing w:after="200" w:line="276" w:lineRule="auto"/>
        <w:rPr>
          <w:lang w:val="en-US"/>
        </w:rPr>
      </w:pPr>
      <w:r w:rsidRPr="00FD6703">
        <w:rPr>
          <w:lang w:val="en-US"/>
        </w:rPr>
        <w:t>https://drive.google.com/drive/folders/1Cgvr7Km535eRCNaQhI5-V5fNwPb_7JeT?usp=sharing</w:t>
      </w:r>
    </w:p>
    <w:p w14:paraId="1DB05AFD" w14:textId="77777777" w:rsidR="001F1AC3" w:rsidRDefault="00833A7D" w:rsidP="008800D0">
      <w:pPr>
        <w:pStyle w:val="ListParagraph"/>
        <w:ind w:left="0"/>
        <w:jc w:val="center"/>
        <w:rPr>
          <w:b/>
        </w:rPr>
      </w:pPr>
      <w:r w:rsidRPr="008A1207">
        <w:rPr>
          <w:b/>
        </w:rPr>
        <w:t xml:space="preserve">                 </w:t>
      </w:r>
    </w:p>
    <w:p w14:paraId="119F5EF9" w14:textId="77777777" w:rsidR="001F1AC3" w:rsidRDefault="001F1AC3" w:rsidP="008800D0">
      <w:pPr>
        <w:pStyle w:val="ListParagraph"/>
        <w:ind w:left="0"/>
        <w:jc w:val="center"/>
        <w:rPr>
          <w:b/>
        </w:rPr>
      </w:pPr>
    </w:p>
    <w:p w14:paraId="2A0B3FBD" w14:textId="77777777" w:rsidR="001F1AC3" w:rsidRDefault="001F1AC3" w:rsidP="008800D0">
      <w:pPr>
        <w:pStyle w:val="ListParagraph"/>
        <w:ind w:left="0"/>
        <w:jc w:val="center"/>
        <w:rPr>
          <w:b/>
        </w:rPr>
      </w:pPr>
    </w:p>
    <w:p w14:paraId="0C9901DE" w14:textId="77777777" w:rsidR="001F1AC3" w:rsidRDefault="001F1AC3" w:rsidP="008800D0">
      <w:pPr>
        <w:pStyle w:val="ListParagraph"/>
        <w:ind w:left="0"/>
        <w:jc w:val="center"/>
        <w:rPr>
          <w:b/>
        </w:rPr>
      </w:pPr>
    </w:p>
    <w:p w14:paraId="64E94AB5" w14:textId="77777777" w:rsidR="001C1A3C" w:rsidRPr="008A1207" w:rsidRDefault="00833A7D" w:rsidP="008800D0">
      <w:pPr>
        <w:pStyle w:val="ListParagraph"/>
        <w:ind w:left="0"/>
        <w:jc w:val="center"/>
        <w:rPr>
          <w:b/>
        </w:rPr>
      </w:pPr>
      <w:r w:rsidRPr="008A1207">
        <w:rPr>
          <w:b/>
        </w:rPr>
        <w:t xml:space="preserve">                                                                                                                              </w:t>
      </w:r>
    </w:p>
    <w:sectPr w:rsidR="001C1A3C" w:rsidRPr="008A1207" w:rsidSect="00F426F5">
      <w:pgSz w:w="12240" w:h="15840"/>
      <w:pgMar w:top="99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21371"/>
    <w:multiLevelType w:val="hybridMultilevel"/>
    <w:tmpl w:val="7820E900"/>
    <w:lvl w:ilvl="0" w:tplc="6D388BC4">
      <w:start w:val="1"/>
      <w:numFmt w:val="decimal"/>
      <w:lvlText w:val="%1."/>
      <w:lvlJc w:val="left"/>
      <w:pPr>
        <w:ind w:left="720" w:hanging="360"/>
      </w:pPr>
      <w:rPr>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FD45EAE"/>
    <w:multiLevelType w:val="hybridMultilevel"/>
    <w:tmpl w:val="6FEE7692"/>
    <w:lvl w:ilvl="0" w:tplc="041C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1D7669E9"/>
    <w:multiLevelType w:val="hybridMultilevel"/>
    <w:tmpl w:val="A316F50C"/>
    <w:lvl w:ilvl="0" w:tplc="5B30D490">
      <w:start w:val="1"/>
      <w:numFmt w:val="lowerLetter"/>
      <w:lvlText w:val="%1)"/>
      <w:lvlJc w:val="left"/>
      <w:pPr>
        <w:tabs>
          <w:tab w:val="num" w:pos="861"/>
        </w:tabs>
        <w:ind w:left="861"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2673C"/>
    <w:multiLevelType w:val="hybridMultilevel"/>
    <w:tmpl w:val="7CB0D680"/>
    <w:lvl w:ilvl="0" w:tplc="04090003">
      <w:start w:val="1"/>
      <w:numFmt w:val="decimal"/>
      <w:lvlText w:val="%1."/>
      <w:lvlJc w:val="left"/>
      <w:pPr>
        <w:ind w:left="1440" w:hanging="360"/>
      </w:p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5" w15:restartNumberingAfterBreak="0">
    <w:nsid w:val="284E7819"/>
    <w:multiLevelType w:val="hybridMultilevel"/>
    <w:tmpl w:val="2B54A3D8"/>
    <w:lvl w:ilvl="0" w:tplc="0F406E88">
      <w:start w:val="1"/>
      <w:numFmt w:val="upperRoman"/>
      <w:lvlText w:val="%1."/>
      <w:lvlJc w:val="righ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2B855794"/>
    <w:multiLevelType w:val="hybridMultilevel"/>
    <w:tmpl w:val="204ED248"/>
    <w:lvl w:ilvl="0" w:tplc="932EF32A">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2D111578"/>
    <w:multiLevelType w:val="hybridMultilevel"/>
    <w:tmpl w:val="711A93A2"/>
    <w:lvl w:ilvl="0" w:tplc="C53ACE1A">
      <w:start w:val="1"/>
      <w:numFmt w:val="bullet"/>
      <w:lvlText w:val="-"/>
      <w:lvlJc w:val="left"/>
      <w:pPr>
        <w:ind w:left="933" w:hanging="360"/>
      </w:pPr>
      <w:rPr>
        <w:rFonts w:ascii="Times New Roman" w:eastAsia="Times New Roman" w:hAnsi="Times New Roman" w:cs="Times New Roman" w:hint="default"/>
      </w:rPr>
    </w:lvl>
    <w:lvl w:ilvl="1" w:tplc="08090003">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8" w15:restartNumberingAfterBreak="0">
    <w:nsid w:val="380A131B"/>
    <w:multiLevelType w:val="hybridMultilevel"/>
    <w:tmpl w:val="738EAE3A"/>
    <w:lvl w:ilvl="0" w:tplc="041C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396A6A02"/>
    <w:multiLevelType w:val="multilevel"/>
    <w:tmpl w:val="6EB0E7A0"/>
    <w:lvl w:ilvl="0">
      <w:start w:val="1"/>
      <w:numFmt w:val="lowerLetter"/>
      <w:lvlText w:val="%1)"/>
      <w:lvlJc w:val="left"/>
      <w:pPr>
        <w:tabs>
          <w:tab w:val="num" w:pos="570"/>
        </w:tabs>
        <w:ind w:left="570" w:hanging="570"/>
      </w:pPr>
      <w:rPr>
        <w:rFonts w:hint="default"/>
      </w:rPr>
    </w:lvl>
    <w:lvl w:ilvl="1">
      <w:start w:val="1"/>
      <w:numFmt w:val="bullet"/>
      <w:lvlText w:val="o"/>
      <w:lvlJc w:val="left"/>
      <w:pPr>
        <w:ind w:left="1653" w:hanging="360"/>
      </w:pPr>
      <w:rPr>
        <w:rFonts w:ascii="Courier New" w:hAnsi="Courier New" w:cs="Courier New" w:hint="default"/>
      </w:rPr>
    </w:lvl>
    <w:lvl w:ilvl="2" w:tentative="1">
      <w:start w:val="1"/>
      <w:numFmt w:val="bullet"/>
      <w:lvlText w:val=""/>
      <w:lvlJc w:val="left"/>
      <w:pPr>
        <w:ind w:left="2373" w:hanging="360"/>
      </w:pPr>
      <w:rPr>
        <w:rFonts w:ascii="Wingdings" w:hAnsi="Wingdings" w:hint="default"/>
      </w:rPr>
    </w:lvl>
    <w:lvl w:ilvl="3" w:tentative="1">
      <w:start w:val="1"/>
      <w:numFmt w:val="bullet"/>
      <w:lvlText w:val=""/>
      <w:lvlJc w:val="left"/>
      <w:pPr>
        <w:ind w:left="3093" w:hanging="360"/>
      </w:pPr>
      <w:rPr>
        <w:rFonts w:ascii="Symbol" w:hAnsi="Symbol" w:hint="default"/>
      </w:rPr>
    </w:lvl>
    <w:lvl w:ilvl="4" w:tentative="1">
      <w:start w:val="1"/>
      <w:numFmt w:val="bullet"/>
      <w:lvlText w:val="o"/>
      <w:lvlJc w:val="left"/>
      <w:pPr>
        <w:ind w:left="3813" w:hanging="360"/>
      </w:pPr>
      <w:rPr>
        <w:rFonts w:ascii="Courier New" w:hAnsi="Courier New" w:cs="Courier New" w:hint="default"/>
      </w:rPr>
    </w:lvl>
    <w:lvl w:ilvl="5" w:tentative="1">
      <w:start w:val="1"/>
      <w:numFmt w:val="bullet"/>
      <w:lvlText w:val=""/>
      <w:lvlJc w:val="left"/>
      <w:pPr>
        <w:ind w:left="4533" w:hanging="360"/>
      </w:pPr>
      <w:rPr>
        <w:rFonts w:ascii="Wingdings" w:hAnsi="Wingdings" w:hint="default"/>
      </w:rPr>
    </w:lvl>
    <w:lvl w:ilvl="6" w:tentative="1">
      <w:start w:val="1"/>
      <w:numFmt w:val="bullet"/>
      <w:lvlText w:val=""/>
      <w:lvlJc w:val="left"/>
      <w:pPr>
        <w:ind w:left="5253" w:hanging="360"/>
      </w:pPr>
      <w:rPr>
        <w:rFonts w:ascii="Symbol" w:hAnsi="Symbol" w:hint="default"/>
      </w:rPr>
    </w:lvl>
    <w:lvl w:ilvl="7" w:tentative="1">
      <w:start w:val="1"/>
      <w:numFmt w:val="bullet"/>
      <w:lvlText w:val="o"/>
      <w:lvlJc w:val="left"/>
      <w:pPr>
        <w:ind w:left="5973" w:hanging="360"/>
      </w:pPr>
      <w:rPr>
        <w:rFonts w:ascii="Courier New" w:hAnsi="Courier New" w:cs="Courier New" w:hint="default"/>
      </w:rPr>
    </w:lvl>
    <w:lvl w:ilvl="8" w:tentative="1">
      <w:start w:val="1"/>
      <w:numFmt w:val="bullet"/>
      <w:lvlText w:val=""/>
      <w:lvlJc w:val="left"/>
      <w:pPr>
        <w:ind w:left="6693" w:hanging="360"/>
      </w:pPr>
      <w:rPr>
        <w:rFonts w:ascii="Wingdings" w:hAnsi="Wingdings" w:hint="default"/>
      </w:rPr>
    </w:lvl>
  </w:abstractNum>
  <w:abstractNum w:abstractNumId="10" w15:restartNumberingAfterBreak="0">
    <w:nsid w:val="39DB4219"/>
    <w:multiLevelType w:val="hybridMultilevel"/>
    <w:tmpl w:val="9A9E306E"/>
    <w:lvl w:ilvl="0" w:tplc="77B6003A">
      <w:start w:val="1"/>
      <w:numFmt w:val="decimal"/>
      <w:lvlText w:val="%1."/>
      <w:lvlJc w:val="left"/>
      <w:pPr>
        <w:ind w:left="54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F42BB"/>
    <w:multiLevelType w:val="hybridMultilevel"/>
    <w:tmpl w:val="6090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762DC"/>
    <w:multiLevelType w:val="hybridMultilevel"/>
    <w:tmpl w:val="986CD8E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D033F08"/>
    <w:multiLevelType w:val="multilevel"/>
    <w:tmpl w:val="49B87E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E2B078B"/>
    <w:multiLevelType w:val="hybridMultilevel"/>
    <w:tmpl w:val="FC7E18F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533C70E3"/>
    <w:multiLevelType w:val="hybridMultilevel"/>
    <w:tmpl w:val="464C3574"/>
    <w:lvl w:ilvl="0" w:tplc="24E857E2">
      <w:start w:val="1"/>
      <w:numFmt w:val="upperRoman"/>
      <w:lvlText w:val="%1."/>
      <w:lvlJc w:val="right"/>
      <w:pPr>
        <w:ind w:left="720" w:hanging="360"/>
      </w:pPr>
      <w:rPr>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6371A3"/>
    <w:multiLevelType w:val="hybridMultilevel"/>
    <w:tmpl w:val="B2DE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20" w15:restartNumberingAfterBreak="0">
    <w:nsid w:val="63E76960"/>
    <w:multiLevelType w:val="hybridMultilevel"/>
    <w:tmpl w:val="2E6E814C"/>
    <w:lvl w:ilvl="0" w:tplc="041C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643637B1"/>
    <w:multiLevelType w:val="hybridMultilevel"/>
    <w:tmpl w:val="85C68A52"/>
    <w:lvl w:ilvl="0" w:tplc="041C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66580CB8"/>
    <w:multiLevelType w:val="hybridMultilevel"/>
    <w:tmpl w:val="3AFADE40"/>
    <w:lvl w:ilvl="0" w:tplc="482C42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24" w15:restartNumberingAfterBreak="0">
    <w:nsid w:val="75910A47"/>
    <w:multiLevelType w:val="hybridMultilevel"/>
    <w:tmpl w:val="865278E8"/>
    <w:lvl w:ilvl="0" w:tplc="62FCF79A">
      <w:start w:val="1"/>
      <w:numFmt w:val="decimal"/>
      <w:lvlText w:val="%1-"/>
      <w:lvlJc w:val="left"/>
      <w:pPr>
        <w:ind w:left="1080" w:hanging="360"/>
      </w:pPr>
      <w:rPr>
        <w:rFonts w:hint="default"/>
        <w:b w:val="0"/>
      </w:rPr>
    </w:lvl>
    <w:lvl w:ilvl="1" w:tplc="B83E927A">
      <w:start w:val="1"/>
      <w:numFmt w:val="lowerLetter"/>
      <w:lvlText w:val="%2."/>
      <w:lvlJc w:val="left"/>
      <w:pPr>
        <w:ind w:left="1800" w:hanging="360"/>
      </w:pPr>
      <w:rPr>
        <w:b/>
        <w:bCs/>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D311EF4"/>
    <w:multiLevelType w:val="hybridMultilevel"/>
    <w:tmpl w:val="BCACCCBE"/>
    <w:lvl w:ilvl="0" w:tplc="987EC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527344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5743828">
    <w:abstractNumId w:val="4"/>
  </w:num>
  <w:num w:numId="3" w16cid:durableId="633755474">
    <w:abstractNumId w:val="8"/>
  </w:num>
  <w:num w:numId="4" w16cid:durableId="59838458">
    <w:abstractNumId w:val="15"/>
  </w:num>
  <w:num w:numId="5" w16cid:durableId="1883833210">
    <w:abstractNumId w:val="20"/>
  </w:num>
  <w:num w:numId="6" w16cid:durableId="576979981">
    <w:abstractNumId w:val="2"/>
  </w:num>
  <w:num w:numId="7" w16cid:durableId="1960985260">
    <w:abstractNumId w:val="13"/>
  </w:num>
  <w:num w:numId="8" w16cid:durableId="1015501621">
    <w:abstractNumId w:val="6"/>
  </w:num>
  <w:num w:numId="9" w16cid:durableId="1212809646">
    <w:abstractNumId w:val="21"/>
  </w:num>
  <w:num w:numId="10" w16cid:durableId="800152630">
    <w:abstractNumId w:val="14"/>
  </w:num>
  <w:num w:numId="11" w16cid:durableId="908921524">
    <w:abstractNumId w:val="5"/>
  </w:num>
  <w:num w:numId="12" w16cid:durableId="250505305">
    <w:abstractNumId w:val="1"/>
  </w:num>
  <w:num w:numId="13" w16cid:durableId="1880431692">
    <w:abstractNumId w:val="25"/>
  </w:num>
  <w:num w:numId="14" w16cid:durableId="535385408">
    <w:abstractNumId w:val="24"/>
  </w:num>
  <w:num w:numId="15" w16cid:durableId="629895760">
    <w:abstractNumId w:val="10"/>
  </w:num>
  <w:num w:numId="16" w16cid:durableId="1003312782">
    <w:abstractNumId w:val="11"/>
  </w:num>
  <w:num w:numId="17" w16cid:durableId="1998726130">
    <w:abstractNumId w:val="17"/>
  </w:num>
  <w:num w:numId="18" w16cid:durableId="1301571307">
    <w:abstractNumId w:val="3"/>
  </w:num>
  <w:num w:numId="19" w16cid:durableId="983244190">
    <w:abstractNumId w:val="19"/>
  </w:num>
  <w:num w:numId="20" w16cid:durableId="106122244">
    <w:abstractNumId w:val="23"/>
  </w:num>
  <w:num w:numId="21" w16cid:durableId="1337880674">
    <w:abstractNumId w:val="9"/>
  </w:num>
  <w:num w:numId="22" w16cid:durableId="1302619282">
    <w:abstractNumId w:val="7"/>
  </w:num>
  <w:num w:numId="23" w16cid:durableId="431321948">
    <w:abstractNumId w:val="18"/>
  </w:num>
  <w:num w:numId="24" w16cid:durableId="1862011591">
    <w:abstractNumId w:val="22"/>
  </w:num>
  <w:num w:numId="25" w16cid:durableId="313028608">
    <w:abstractNumId w:val="0"/>
  </w:num>
  <w:num w:numId="26" w16cid:durableId="168558885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D4E"/>
    <w:rsid w:val="00002A12"/>
    <w:rsid w:val="00010C43"/>
    <w:rsid w:val="00020215"/>
    <w:rsid w:val="0002082D"/>
    <w:rsid w:val="0002344F"/>
    <w:rsid w:val="00040E23"/>
    <w:rsid w:val="0005100C"/>
    <w:rsid w:val="0005412D"/>
    <w:rsid w:val="000925C7"/>
    <w:rsid w:val="00095353"/>
    <w:rsid w:val="00097BCE"/>
    <w:rsid w:val="000A1570"/>
    <w:rsid w:val="000A4117"/>
    <w:rsid w:val="000A58DF"/>
    <w:rsid w:val="000A58F2"/>
    <w:rsid w:val="000B4935"/>
    <w:rsid w:val="000C3EB6"/>
    <w:rsid w:val="000C67C1"/>
    <w:rsid w:val="000D6482"/>
    <w:rsid w:val="000E3C5E"/>
    <w:rsid w:val="000F00E1"/>
    <w:rsid w:val="000F01F0"/>
    <w:rsid w:val="000F362B"/>
    <w:rsid w:val="0010339D"/>
    <w:rsid w:val="00123122"/>
    <w:rsid w:val="0012702B"/>
    <w:rsid w:val="001309DC"/>
    <w:rsid w:val="00146C66"/>
    <w:rsid w:val="001667FF"/>
    <w:rsid w:val="00174E92"/>
    <w:rsid w:val="00177A80"/>
    <w:rsid w:val="00180E59"/>
    <w:rsid w:val="0018100B"/>
    <w:rsid w:val="00181E9D"/>
    <w:rsid w:val="0018449A"/>
    <w:rsid w:val="001849D4"/>
    <w:rsid w:val="001B3D49"/>
    <w:rsid w:val="001C1A3C"/>
    <w:rsid w:val="001C409C"/>
    <w:rsid w:val="001D0415"/>
    <w:rsid w:val="001E50AD"/>
    <w:rsid w:val="001F1AC3"/>
    <w:rsid w:val="002050C5"/>
    <w:rsid w:val="00214048"/>
    <w:rsid w:val="0022641D"/>
    <w:rsid w:val="00235DFF"/>
    <w:rsid w:val="00280BDE"/>
    <w:rsid w:val="002913D4"/>
    <w:rsid w:val="002A0A04"/>
    <w:rsid w:val="002E0852"/>
    <w:rsid w:val="00300FB9"/>
    <w:rsid w:val="00312023"/>
    <w:rsid w:val="003200BF"/>
    <w:rsid w:val="00321C23"/>
    <w:rsid w:val="00323FDD"/>
    <w:rsid w:val="00336B65"/>
    <w:rsid w:val="00342BF4"/>
    <w:rsid w:val="003523DC"/>
    <w:rsid w:val="003547D3"/>
    <w:rsid w:val="00363234"/>
    <w:rsid w:val="00365191"/>
    <w:rsid w:val="00365BB6"/>
    <w:rsid w:val="00370255"/>
    <w:rsid w:val="003746E0"/>
    <w:rsid w:val="00377286"/>
    <w:rsid w:val="0038035D"/>
    <w:rsid w:val="0038150D"/>
    <w:rsid w:val="00381E12"/>
    <w:rsid w:val="00384BD4"/>
    <w:rsid w:val="00392DC1"/>
    <w:rsid w:val="003B0067"/>
    <w:rsid w:val="003B5C8F"/>
    <w:rsid w:val="003E0D40"/>
    <w:rsid w:val="003E3958"/>
    <w:rsid w:val="003E6F43"/>
    <w:rsid w:val="004006EC"/>
    <w:rsid w:val="00402D2E"/>
    <w:rsid w:val="00412BEA"/>
    <w:rsid w:val="0041398F"/>
    <w:rsid w:val="004158F9"/>
    <w:rsid w:val="00432488"/>
    <w:rsid w:val="004376FB"/>
    <w:rsid w:val="00443518"/>
    <w:rsid w:val="00443C01"/>
    <w:rsid w:val="00472695"/>
    <w:rsid w:val="00474D76"/>
    <w:rsid w:val="00477F0B"/>
    <w:rsid w:val="0048551A"/>
    <w:rsid w:val="0049369B"/>
    <w:rsid w:val="004A4AF2"/>
    <w:rsid w:val="004B04E6"/>
    <w:rsid w:val="004B584C"/>
    <w:rsid w:val="004B5A7D"/>
    <w:rsid w:val="004B61B4"/>
    <w:rsid w:val="004C68C4"/>
    <w:rsid w:val="004D7A26"/>
    <w:rsid w:val="004E2ADB"/>
    <w:rsid w:val="00502957"/>
    <w:rsid w:val="005043A8"/>
    <w:rsid w:val="00506B0C"/>
    <w:rsid w:val="005073DD"/>
    <w:rsid w:val="00511576"/>
    <w:rsid w:val="00513900"/>
    <w:rsid w:val="005156B4"/>
    <w:rsid w:val="005303F6"/>
    <w:rsid w:val="005409A1"/>
    <w:rsid w:val="00540F8A"/>
    <w:rsid w:val="005552E3"/>
    <w:rsid w:val="005563F6"/>
    <w:rsid w:val="00561FF7"/>
    <w:rsid w:val="005674B5"/>
    <w:rsid w:val="005734EC"/>
    <w:rsid w:val="00573889"/>
    <w:rsid w:val="00585A5D"/>
    <w:rsid w:val="005A1F23"/>
    <w:rsid w:val="005B6EF4"/>
    <w:rsid w:val="005C5D04"/>
    <w:rsid w:val="005D05A7"/>
    <w:rsid w:val="005D1F43"/>
    <w:rsid w:val="005F2ECA"/>
    <w:rsid w:val="00617366"/>
    <w:rsid w:val="00623146"/>
    <w:rsid w:val="006260BB"/>
    <w:rsid w:val="00627D93"/>
    <w:rsid w:val="00637606"/>
    <w:rsid w:val="00647901"/>
    <w:rsid w:val="00653A71"/>
    <w:rsid w:val="00654088"/>
    <w:rsid w:val="00661C09"/>
    <w:rsid w:val="006705E4"/>
    <w:rsid w:val="006800C7"/>
    <w:rsid w:val="00693515"/>
    <w:rsid w:val="00693CBE"/>
    <w:rsid w:val="00695B43"/>
    <w:rsid w:val="00696CF9"/>
    <w:rsid w:val="006B47C0"/>
    <w:rsid w:val="006C3CD7"/>
    <w:rsid w:val="006E14DE"/>
    <w:rsid w:val="006E4C84"/>
    <w:rsid w:val="00702D58"/>
    <w:rsid w:val="00713C9D"/>
    <w:rsid w:val="00730B52"/>
    <w:rsid w:val="007311AA"/>
    <w:rsid w:val="00735446"/>
    <w:rsid w:val="007358B0"/>
    <w:rsid w:val="0074431B"/>
    <w:rsid w:val="0074580A"/>
    <w:rsid w:val="0075677B"/>
    <w:rsid w:val="00757EBC"/>
    <w:rsid w:val="007644E0"/>
    <w:rsid w:val="00764901"/>
    <w:rsid w:val="00766E87"/>
    <w:rsid w:val="0078129A"/>
    <w:rsid w:val="00784434"/>
    <w:rsid w:val="00787609"/>
    <w:rsid w:val="00791833"/>
    <w:rsid w:val="00797FE3"/>
    <w:rsid w:val="007C2171"/>
    <w:rsid w:val="007D4427"/>
    <w:rsid w:val="007E6713"/>
    <w:rsid w:val="007F1CE5"/>
    <w:rsid w:val="007F675A"/>
    <w:rsid w:val="00806261"/>
    <w:rsid w:val="00814338"/>
    <w:rsid w:val="0081687C"/>
    <w:rsid w:val="00822E86"/>
    <w:rsid w:val="00825C6D"/>
    <w:rsid w:val="008268FB"/>
    <w:rsid w:val="00833A7D"/>
    <w:rsid w:val="00846275"/>
    <w:rsid w:val="00847792"/>
    <w:rsid w:val="008504DD"/>
    <w:rsid w:val="008538A9"/>
    <w:rsid w:val="00865053"/>
    <w:rsid w:val="00866318"/>
    <w:rsid w:val="0087047F"/>
    <w:rsid w:val="00872115"/>
    <w:rsid w:val="0087578D"/>
    <w:rsid w:val="0087588C"/>
    <w:rsid w:val="00875C1F"/>
    <w:rsid w:val="00877277"/>
    <w:rsid w:val="008800D0"/>
    <w:rsid w:val="00880D3D"/>
    <w:rsid w:val="00883293"/>
    <w:rsid w:val="008856EB"/>
    <w:rsid w:val="00886DC8"/>
    <w:rsid w:val="008933DB"/>
    <w:rsid w:val="008A1207"/>
    <w:rsid w:val="008A13EB"/>
    <w:rsid w:val="008A252A"/>
    <w:rsid w:val="008A79DE"/>
    <w:rsid w:val="008B673A"/>
    <w:rsid w:val="008C6E33"/>
    <w:rsid w:val="008D5D4E"/>
    <w:rsid w:val="008E7DF9"/>
    <w:rsid w:val="008E7EDD"/>
    <w:rsid w:val="008F7D94"/>
    <w:rsid w:val="00903424"/>
    <w:rsid w:val="00905D73"/>
    <w:rsid w:val="00930CC9"/>
    <w:rsid w:val="00930E7E"/>
    <w:rsid w:val="0093495D"/>
    <w:rsid w:val="00935EB8"/>
    <w:rsid w:val="00953E13"/>
    <w:rsid w:val="00961E1F"/>
    <w:rsid w:val="00963B9F"/>
    <w:rsid w:val="00964B50"/>
    <w:rsid w:val="00972062"/>
    <w:rsid w:val="00976C8F"/>
    <w:rsid w:val="00982916"/>
    <w:rsid w:val="009831FC"/>
    <w:rsid w:val="00984E0B"/>
    <w:rsid w:val="0099690D"/>
    <w:rsid w:val="009A3099"/>
    <w:rsid w:val="009B2DC4"/>
    <w:rsid w:val="009C23F9"/>
    <w:rsid w:val="009D0D38"/>
    <w:rsid w:val="009D3C83"/>
    <w:rsid w:val="009D593A"/>
    <w:rsid w:val="009F04AD"/>
    <w:rsid w:val="009F4579"/>
    <w:rsid w:val="00A06766"/>
    <w:rsid w:val="00A13190"/>
    <w:rsid w:val="00A17FDD"/>
    <w:rsid w:val="00A27530"/>
    <w:rsid w:val="00A3060F"/>
    <w:rsid w:val="00A30C34"/>
    <w:rsid w:val="00A335CD"/>
    <w:rsid w:val="00A37711"/>
    <w:rsid w:val="00A41011"/>
    <w:rsid w:val="00A413F4"/>
    <w:rsid w:val="00A46D7C"/>
    <w:rsid w:val="00A7591D"/>
    <w:rsid w:val="00A77B4A"/>
    <w:rsid w:val="00A82DC8"/>
    <w:rsid w:val="00A84320"/>
    <w:rsid w:val="00AB3F76"/>
    <w:rsid w:val="00AC1218"/>
    <w:rsid w:val="00AD0297"/>
    <w:rsid w:val="00AD67C9"/>
    <w:rsid w:val="00AD6C5C"/>
    <w:rsid w:val="00AD7B6B"/>
    <w:rsid w:val="00AE0AC7"/>
    <w:rsid w:val="00AE19EC"/>
    <w:rsid w:val="00AE218F"/>
    <w:rsid w:val="00AF427C"/>
    <w:rsid w:val="00B04F01"/>
    <w:rsid w:val="00B07DB3"/>
    <w:rsid w:val="00B07E0A"/>
    <w:rsid w:val="00B212E0"/>
    <w:rsid w:val="00B24E5F"/>
    <w:rsid w:val="00B26CCF"/>
    <w:rsid w:val="00B305D3"/>
    <w:rsid w:val="00B51E5C"/>
    <w:rsid w:val="00B52977"/>
    <w:rsid w:val="00B61376"/>
    <w:rsid w:val="00B61FDB"/>
    <w:rsid w:val="00B64E26"/>
    <w:rsid w:val="00B6525C"/>
    <w:rsid w:val="00B71D87"/>
    <w:rsid w:val="00B802F9"/>
    <w:rsid w:val="00B90ECA"/>
    <w:rsid w:val="00BA45E0"/>
    <w:rsid w:val="00BA52AC"/>
    <w:rsid w:val="00BB2965"/>
    <w:rsid w:val="00BB3600"/>
    <w:rsid w:val="00BC06F7"/>
    <w:rsid w:val="00BC6E62"/>
    <w:rsid w:val="00BD0364"/>
    <w:rsid w:val="00BE472E"/>
    <w:rsid w:val="00C106C5"/>
    <w:rsid w:val="00C26B43"/>
    <w:rsid w:val="00C35B76"/>
    <w:rsid w:val="00C3686E"/>
    <w:rsid w:val="00C45054"/>
    <w:rsid w:val="00C47572"/>
    <w:rsid w:val="00C502B1"/>
    <w:rsid w:val="00C50D00"/>
    <w:rsid w:val="00C518CF"/>
    <w:rsid w:val="00C56018"/>
    <w:rsid w:val="00C604A5"/>
    <w:rsid w:val="00C60726"/>
    <w:rsid w:val="00C62062"/>
    <w:rsid w:val="00C66590"/>
    <w:rsid w:val="00C71562"/>
    <w:rsid w:val="00C723A3"/>
    <w:rsid w:val="00C920E7"/>
    <w:rsid w:val="00CA30B7"/>
    <w:rsid w:val="00CA4CA2"/>
    <w:rsid w:val="00CB2FA8"/>
    <w:rsid w:val="00CC1202"/>
    <w:rsid w:val="00CC1E0B"/>
    <w:rsid w:val="00CD0A58"/>
    <w:rsid w:val="00CD5C8B"/>
    <w:rsid w:val="00CD77B5"/>
    <w:rsid w:val="00CE51AF"/>
    <w:rsid w:val="00CF267F"/>
    <w:rsid w:val="00CF27BF"/>
    <w:rsid w:val="00D00E12"/>
    <w:rsid w:val="00D02A76"/>
    <w:rsid w:val="00D038D5"/>
    <w:rsid w:val="00D038E6"/>
    <w:rsid w:val="00D07793"/>
    <w:rsid w:val="00D11078"/>
    <w:rsid w:val="00D21328"/>
    <w:rsid w:val="00D22305"/>
    <w:rsid w:val="00D24B8A"/>
    <w:rsid w:val="00D368A7"/>
    <w:rsid w:val="00D52786"/>
    <w:rsid w:val="00D55605"/>
    <w:rsid w:val="00D63E9E"/>
    <w:rsid w:val="00D70632"/>
    <w:rsid w:val="00D70669"/>
    <w:rsid w:val="00D9127D"/>
    <w:rsid w:val="00DA09C0"/>
    <w:rsid w:val="00DA3732"/>
    <w:rsid w:val="00DD0705"/>
    <w:rsid w:val="00DD35B4"/>
    <w:rsid w:val="00DE4DB9"/>
    <w:rsid w:val="00DF3646"/>
    <w:rsid w:val="00DF4FCA"/>
    <w:rsid w:val="00DF634F"/>
    <w:rsid w:val="00E2499A"/>
    <w:rsid w:val="00E30155"/>
    <w:rsid w:val="00E31B29"/>
    <w:rsid w:val="00E32843"/>
    <w:rsid w:val="00E32A5B"/>
    <w:rsid w:val="00E47069"/>
    <w:rsid w:val="00E4736E"/>
    <w:rsid w:val="00E533AD"/>
    <w:rsid w:val="00E62521"/>
    <w:rsid w:val="00E7568D"/>
    <w:rsid w:val="00E75CBC"/>
    <w:rsid w:val="00E862E3"/>
    <w:rsid w:val="00E91283"/>
    <w:rsid w:val="00E9170D"/>
    <w:rsid w:val="00EB05FC"/>
    <w:rsid w:val="00EB30D8"/>
    <w:rsid w:val="00EB38DE"/>
    <w:rsid w:val="00EB42A2"/>
    <w:rsid w:val="00ED0BAE"/>
    <w:rsid w:val="00EE06C1"/>
    <w:rsid w:val="00EE3B76"/>
    <w:rsid w:val="00EE41D4"/>
    <w:rsid w:val="00EE705F"/>
    <w:rsid w:val="00EF2BB7"/>
    <w:rsid w:val="00EF5B61"/>
    <w:rsid w:val="00F01448"/>
    <w:rsid w:val="00F016B5"/>
    <w:rsid w:val="00F1469A"/>
    <w:rsid w:val="00F26AD8"/>
    <w:rsid w:val="00F37125"/>
    <w:rsid w:val="00F40CCB"/>
    <w:rsid w:val="00F413A8"/>
    <w:rsid w:val="00F41E73"/>
    <w:rsid w:val="00F426F5"/>
    <w:rsid w:val="00F50FA6"/>
    <w:rsid w:val="00F72B2A"/>
    <w:rsid w:val="00F9087B"/>
    <w:rsid w:val="00FA365F"/>
    <w:rsid w:val="00FD6703"/>
    <w:rsid w:val="00FD6F8E"/>
    <w:rsid w:val="00FE2F85"/>
    <w:rsid w:val="00FE3A5E"/>
    <w:rsid w:val="00FE6BF8"/>
    <w:rsid w:val="00FF03FF"/>
    <w:rsid w:val="00FF1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1F18A"/>
  <w15:chartTrackingRefBased/>
  <w15:docId w15:val="{65A81193-9CBB-4998-95E2-20D3875C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q"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D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72695"/>
    <w:rPr>
      <w:rFonts w:ascii="Tahoma" w:hAnsi="Tahoma" w:cs="Tahoma"/>
      <w:sz w:val="16"/>
      <w:szCs w:val="16"/>
    </w:rPr>
  </w:style>
  <w:style w:type="paragraph" w:styleId="Title">
    <w:name w:val="Title"/>
    <w:basedOn w:val="Normal"/>
    <w:qFormat/>
    <w:rsid w:val="00735446"/>
    <w:pPr>
      <w:jc w:val="center"/>
    </w:pPr>
    <w:rPr>
      <w:b/>
      <w:bCs/>
      <w:szCs w:val="20"/>
    </w:rPr>
  </w:style>
  <w:style w:type="paragraph" w:styleId="ListParagraph">
    <w:name w:val="List Paragraph"/>
    <w:aliases w:val="List Paragraph (numbered (a)),FM,Akapit z listą BS,List Paragraph1,Bullet1,References,Bullets,List_Paragraph,Multilevel para_II,List1,Numbered Indented Text,List Paragraph Char Char Char,List Paragraph Char Char,Bullet 1,lp1,Bullet Points"/>
    <w:basedOn w:val="Normal"/>
    <w:link w:val="ListParagraphChar"/>
    <w:uiPriority w:val="34"/>
    <w:qFormat/>
    <w:rsid w:val="00EE3B76"/>
    <w:pPr>
      <w:ind w:left="720"/>
    </w:pPr>
  </w:style>
  <w:style w:type="character" w:styleId="Emphasis">
    <w:name w:val="Emphasis"/>
    <w:uiPriority w:val="20"/>
    <w:qFormat/>
    <w:rsid w:val="009831FC"/>
    <w:rPr>
      <w:rFonts w:cs="Times New Roman"/>
      <w:i/>
      <w:iCs/>
    </w:rPr>
  </w:style>
  <w:style w:type="character" w:styleId="CommentReference">
    <w:name w:val="annotation reference"/>
    <w:rsid w:val="00CD5C8B"/>
    <w:rPr>
      <w:sz w:val="16"/>
      <w:szCs w:val="16"/>
    </w:rPr>
  </w:style>
  <w:style w:type="paragraph" w:styleId="CommentText">
    <w:name w:val="annotation text"/>
    <w:basedOn w:val="Normal"/>
    <w:link w:val="CommentTextChar"/>
    <w:rsid w:val="00CD5C8B"/>
    <w:rPr>
      <w:sz w:val="20"/>
      <w:szCs w:val="20"/>
    </w:rPr>
  </w:style>
  <w:style w:type="character" w:customStyle="1" w:styleId="CommentTextChar">
    <w:name w:val="Comment Text Char"/>
    <w:link w:val="CommentText"/>
    <w:rsid w:val="00CD5C8B"/>
    <w:rPr>
      <w:lang w:val="sq"/>
    </w:rPr>
  </w:style>
  <w:style w:type="paragraph" w:styleId="CommentSubject">
    <w:name w:val="annotation subject"/>
    <w:basedOn w:val="CommentText"/>
    <w:next w:val="CommentText"/>
    <w:link w:val="CommentSubjectChar"/>
    <w:rsid w:val="00CD5C8B"/>
    <w:rPr>
      <w:b/>
      <w:bCs/>
    </w:rPr>
  </w:style>
  <w:style w:type="character" w:customStyle="1" w:styleId="CommentSubjectChar">
    <w:name w:val="Comment Subject Char"/>
    <w:link w:val="CommentSubject"/>
    <w:rsid w:val="00CD5C8B"/>
    <w:rPr>
      <w:b/>
      <w:bCs/>
      <w:lang w:val="sq"/>
    </w:rPr>
  </w:style>
  <w:style w:type="paragraph" w:styleId="BodyText">
    <w:name w:val="Body Text"/>
    <w:basedOn w:val="Normal"/>
    <w:link w:val="BodyTextChar"/>
    <w:rsid w:val="00877277"/>
    <w:rPr>
      <w:szCs w:val="20"/>
      <w:lang w:eastAsia="en-GB"/>
    </w:rPr>
  </w:style>
  <w:style w:type="character" w:customStyle="1" w:styleId="BodyTextChar">
    <w:name w:val="Body Text Char"/>
    <w:link w:val="BodyText"/>
    <w:rsid w:val="00877277"/>
    <w:rPr>
      <w:sz w:val="24"/>
    </w:rPr>
  </w:style>
  <w:style w:type="paragraph" w:customStyle="1" w:styleId="Numbered">
    <w:name w:val="Numbered"/>
    <w:basedOn w:val="Normal"/>
    <w:link w:val="NumberedChar"/>
    <w:qFormat/>
    <w:rsid w:val="005552E3"/>
    <w:pPr>
      <w:numPr>
        <w:numId w:val="25"/>
      </w:numPr>
      <w:jc w:val="both"/>
    </w:pPr>
    <w:rPr>
      <w:lang w:eastAsia="en-GB"/>
    </w:rPr>
  </w:style>
  <w:style w:type="character" w:customStyle="1" w:styleId="NumberedChar">
    <w:name w:val="Numbered Char"/>
    <w:link w:val="Numbered"/>
    <w:rsid w:val="005552E3"/>
    <w:rPr>
      <w:sz w:val="24"/>
      <w:szCs w:val="24"/>
    </w:rPr>
  </w:style>
  <w:style w:type="paragraph" w:styleId="BodyText2">
    <w:name w:val="Body Text 2"/>
    <w:basedOn w:val="Normal"/>
    <w:link w:val="BodyText2Char"/>
    <w:rsid w:val="005552E3"/>
    <w:pPr>
      <w:spacing w:after="120" w:line="480" w:lineRule="auto"/>
    </w:pPr>
  </w:style>
  <w:style w:type="character" w:customStyle="1" w:styleId="BodyText2Char">
    <w:name w:val="Body Text 2 Char"/>
    <w:link w:val="BodyText2"/>
    <w:rsid w:val="005552E3"/>
    <w:rPr>
      <w:sz w:val="24"/>
      <w:szCs w:val="24"/>
      <w:lang w:val="sq" w:eastAsia="en-US"/>
    </w:rPr>
  </w:style>
  <w:style w:type="paragraph" w:customStyle="1" w:styleId="Style11ptJustifiedAfter12pt">
    <w:name w:val="Style 11 pt Justified After:  12 pt"/>
    <w:basedOn w:val="Normal"/>
    <w:link w:val="Style11ptJustifiedAfter12ptChar"/>
    <w:rsid w:val="005552E3"/>
    <w:pPr>
      <w:spacing w:after="120"/>
      <w:jc w:val="both"/>
    </w:pPr>
    <w:rPr>
      <w:sz w:val="22"/>
      <w:szCs w:val="20"/>
      <w:lang w:eastAsia="en-GB"/>
    </w:rPr>
  </w:style>
  <w:style w:type="character" w:customStyle="1" w:styleId="Style11ptJustifiedAfter12ptChar">
    <w:name w:val="Style 11 pt Justified After:  12 pt Char"/>
    <w:link w:val="Style11ptJustifiedAfter12pt"/>
    <w:rsid w:val="005552E3"/>
    <w:rPr>
      <w:sz w:val="22"/>
    </w:rPr>
  </w:style>
  <w:style w:type="character" w:customStyle="1" w:styleId="Style11pt">
    <w:name w:val="Style 11 pt"/>
    <w:rsid w:val="005552E3"/>
    <w:rPr>
      <w:sz w:val="22"/>
    </w:rPr>
  </w:style>
  <w:style w:type="character" w:customStyle="1" w:styleId="ListParagraphChar">
    <w:name w:val="List Paragraph Char"/>
    <w:aliases w:val="List Paragraph (numbered (a)) Char,FM Char,Akapit z listą BS Char,List Paragraph1 Char,Bullet1 Char,References Char,Bullets Char,List_Paragraph Char,Multilevel para_II Char,List1 Char,Numbered Indented Text Char,Bullet 1 Char"/>
    <w:link w:val="ListParagraph"/>
    <w:uiPriority w:val="34"/>
    <w:qFormat/>
    <w:locked/>
    <w:rsid w:val="00C502B1"/>
    <w:rPr>
      <w:sz w:val="24"/>
      <w:szCs w:val="24"/>
      <w:lang w:val="s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7806">
      <w:bodyDiv w:val="1"/>
      <w:marLeft w:val="0"/>
      <w:marRight w:val="0"/>
      <w:marTop w:val="0"/>
      <w:marBottom w:val="0"/>
      <w:divBdr>
        <w:top w:val="none" w:sz="0" w:space="0" w:color="auto"/>
        <w:left w:val="none" w:sz="0" w:space="0" w:color="auto"/>
        <w:bottom w:val="none" w:sz="0" w:space="0" w:color="auto"/>
        <w:right w:val="none" w:sz="0" w:space="0" w:color="auto"/>
      </w:divBdr>
    </w:div>
    <w:div w:id="116148040">
      <w:bodyDiv w:val="1"/>
      <w:marLeft w:val="0"/>
      <w:marRight w:val="0"/>
      <w:marTop w:val="0"/>
      <w:marBottom w:val="0"/>
      <w:divBdr>
        <w:top w:val="none" w:sz="0" w:space="0" w:color="auto"/>
        <w:left w:val="none" w:sz="0" w:space="0" w:color="auto"/>
        <w:bottom w:val="none" w:sz="0" w:space="0" w:color="auto"/>
        <w:right w:val="none" w:sz="0" w:space="0" w:color="auto"/>
      </w:divBdr>
    </w:div>
    <w:div w:id="174891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3A027-E2B5-4EF6-ADB7-C29E7877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2902</Words>
  <Characters>16543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vt:lpstr>
    </vt:vector>
  </TitlesOfParts>
  <Company>044 354 446</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Shkodrani</dc:creator>
  <cp:keywords/>
  <cp:lastModifiedBy>pepshi rrustem</cp:lastModifiedBy>
  <cp:revision>9</cp:revision>
  <cp:lastPrinted>2025-04-22T09:28:00Z</cp:lastPrinted>
  <dcterms:created xsi:type="dcterms:W3CDTF">2025-06-30T13:13:00Z</dcterms:created>
  <dcterms:modified xsi:type="dcterms:W3CDTF">2025-07-16T07:58:00Z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759f3a1dee838185ed0faf99e7ce4e495657b6f70c6d1db1b09ca534519f9fec</vt:lpwstr>
  </property>
</Properties>
</file>