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9C75" w14:textId="5137851A" w:rsidR="00284EBC" w:rsidRDefault="00284EBC" w:rsidP="00536D28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2159A02" w14:textId="06965F23" w:rsidR="00561217" w:rsidRPr="009F40F5" w:rsidRDefault="00561217" w:rsidP="009F40F5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1AD7C63" w14:textId="2C3BEC00" w:rsidR="00284EBC" w:rsidRPr="00602736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602736">
        <w:rPr>
          <w:rFonts w:ascii="Times New Roman" w:hAnsi="Times New Roman" w:cs="Times New Roman"/>
          <w:b/>
          <w:sz w:val="26"/>
          <w:szCs w:val="26"/>
          <w:lang w:val="sq-AL"/>
        </w:rPr>
        <w:t>Drejtoria për Buxhet dhe Financa</w:t>
      </w:r>
    </w:p>
    <w:p w14:paraId="0789B3F1" w14:textId="16C651A9" w:rsidR="00DB5494" w:rsidRPr="00602736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2736">
        <w:rPr>
          <w:rFonts w:ascii="Times New Roman" w:hAnsi="Times New Roman" w:cs="Times New Roman"/>
          <w:b/>
          <w:sz w:val="24"/>
          <w:szCs w:val="24"/>
          <w:lang w:val="sq-AL"/>
        </w:rPr>
        <w:t>Zyra e Tatimit n</w:t>
      </w:r>
      <w:r w:rsidR="00EC1576" w:rsidRPr="0060273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273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Pronë</w:t>
      </w:r>
    </w:p>
    <w:p w14:paraId="48C8CD16" w14:textId="77777777" w:rsidR="00074DD2" w:rsidRDefault="00074DD2" w:rsidP="00536D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5A70A918" w14:textId="0080DF25" w:rsidR="00536D28" w:rsidRDefault="00A165DF" w:rsidP="00536D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9046" wp14:editId="7B0B6DD1">
                <wp:simplePos x="0" y="0"/>
                <wp:positionH relativeFrom="column">
                  <wp:posOffset>-123825</wp:posOffset>
                </wp:positionH>
                <wp:positionV relativeFrom="paragraph">
                  <wp:posOffset>10160</wp:posOffset>
                </wp:positionV>
                <wp:extent cx="6153150" cy="0"/>
                <wp:effectExtent l="9525" t="13970" r="9525" b="146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09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75pt;margin-top:.8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" strokeweight="1.5pt"/>
            </w:pict>
          </mc:Fallback>
        </mc:AlternateContent>
      </w:r>
    </w:p>
    <w:p w14:paraId="2F13F156" w14:textId="77777777" w:rsidR="00E60412" w:rsidRPr="00FD5413" w:rsidRDefault="00580836" w:rsidP="00580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</w:t>
      </w:r>
      <w:r w:rsidR="00EF7EB6" w:rsidRPr="00FD5413">
        <w:rPr>
          <w:rFonts w:ascii="Times New Roman" w:hAnsi="Times New Roman" w:cs="Times New Roman"/>
          <w:sz w:val="24"/>
          <w:szCs w:val="24"/>
          <w:lang w:val="sq-AL"/>
        </w:rPr>
        <w:t>Numri:</w:t>
      </w:r>
    </w:p>
    <w:p w14:paraId="2B1E2E22" w14:textId="77777777" w:rsidR="00EF7EB6" w:rsidRPr="00FD5413" w:rsidRDefault="00580836" w:rsidP="00580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</w:t>
      </w:r>
      <w:r w:rsidR="00EF7EB6" w:rsidRPr="00FD5413">
        <w:rPr>
          <w:rFonts w:ascii="Times New Roman" w:hAnsi="Times New Roman" w:cs="Times New Roman"/>
          <w:sz w:val="24"/>
          <w:szCs w:val="24"/>
          <w:lang w:val="sq-AL"/>
        </w:rPr>
        <w:t>Data:</w:t>
      </w:r>
    </w:p>
    <w:p w14:paraId="3FDCA98A" w14:textId="77777777" w:rsidR="00536D28" w:rsidRDefault="00536D28" w:rsidP="00536D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0F60EF26" w14:textId="77777777" w:rsidR="00116959" w:rsidRPr="00FD5413" w:rsidRDefault="00116959" w:rsidP="00536D2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14:paraId="14C33A62" w14:textId="77777777" w:rsidR="00074DD2" w:rsidRDefault="00074DD2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A37036" w14:textId="77777777" w:rsidR="00074DD2" w:rsidRDefault="00074DD2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147A58" w14:textId="77777777" w:rsidR="00B606CB" w:rsidRDefault="007F126B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BF78B1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mbështetje</w:t>
      </w:r>
      <w:r w:rsidR="00BF78B1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BF78B1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C5D90">
        <w:rPr>
          <w:rFonts w:ascii="Times New Roman" w:hAnsi="Times New Roman" w:cs="Times New Roman"/>
          <w:sz w:val="24"/>
          <w:szCs w:val="24"/>
          <w:lang w:val="sq-AL"/>
        </w:rPr>
        <w:t>neneve 60, 61, 66, 67, 68</w:t>
      </w:r>
      <w:r w:rsidR="00CE6468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841F5" w:rsidRPr="00FD5413">
        <w:rPr>
          <w:rFonts w:ascii="Times New Roman" w:hAnsi="Times New Roman" w:cs="Times New Roman"/>
          <w:sz w:val="24"/>
          <w:szCs w:val="24"/>
          <w:lang w:val="sq-AL"/>
        </w:rPr>
        <w:t>Ligjit Nr. 0</w:t>
      </w:r>
      <w:r w:rsidR="00B606CB" w:rsidRPr="00FD541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3841F5" w:rsidRPr="00FD5413">
        <w:rPr>
          <w:rFonts w:ascii="Times New Roman" w:hAnsi="Times New Roman" w:cs="Times New Roman"/>
          <w:sz w:val="24"/>
          <w:szCs w:val="24"/>
          <w:lang w:val="sq-AL"/>
        </w:rPr>
        <w:t>/L-0</w:t>
      </w:r>
      <w:r w:rsidR="00B606CB" w:rsidRPr="00FD5413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="003841F5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B606CB" w:rsidRPr="00FD5413">
        <w:rPr>
          <w:rFonts w:ascii="Times New Roman" w:hAnsi="Times New Roman" w:cs="Times New Roman"/>
          <w:sz w:val="24"/>
          <w:szCs w:val="24"/>
          <w:lang w:val="sq-AL"/>
        </w:rPr>
        <w:t>Procedurën e Përgjithshme Administrative</w:t>
      </w:r>
      <w:r w:rsidR="00BF78B1" w:rsidRPr="00FD5413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="00EF7EB6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qëllim</w:t>
      </w:r>
      <w:r w:rsidR="00B606C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EF7EB6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realizimit të interesit publik lidhur me tatimin në pronën e paluajtshme </w:t>
      </w:r>
      <w:r w:rsidR="00CE6468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pas njoftimit të tatimpaguesit rreth të drejtave dhe detyrimeve nga ana e zyrtarit publik </w:t>
      </w:r>
      <w:r w:rsidR="00B606C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>me datë</w:t>
      </w:r>
      <w:r w:rsidR="00284EBC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="00B606C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580836">
        <w:rPr>
          <w:rFonts w:ascii="Times New Roman" w:hAnsi="Times New Roman" w:cs="Times New Roman"/>
          <w:bCs/>
          <w:sz w:val="24"/>
          <w:szCs w:val="24"/>
          <w:lang w:val="sq-AL"/>
        </w:rPr>
        <w:t>11.03.2022</w:t>
      </w:r>
    </w:p>
    <w:p w14:paraId="61A65AAF" w14:textId="77777777" w:rsidR="00602736" w:rsidRDefault="00602736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45F1C7D0" w14:textId="77777777" w:rsidR="00116959" w:rsidRDefault="00116959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78B410A" w14:textId="62CF6D65" w:rsidR="00EF7EB6" w:rsidRDefault="00B606CB" w:rsidP="00536D2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bCs/>
          <w:sz w:val="24"/>
          <w:szCs w:val="24"/>
          <w:lang w:val="sq-AL"/>
        </w:rPr>
        <w:t>Organi Administrativ:</w:t>
      </w:r>
      <w:r w:rsidR="00952C9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Drejtoria</w:t>
      </w:r>
      <w:r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për Buxhet dhe Financa</w:t>
      </w:r>
      <w:r w:rsidR="00952C9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>, Zyra e Tatimi</w:t>
      </w:r>
      <w:r w:rsidR="00CC5D90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952C9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Pronë,</w:t>
      </w:r>
      <w:r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Komun</w:t>
      </w:r>
      <w:r w:rsidR="00952C9B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a </w:t>
      </w:r>
      <w:r w:rsidR="00A165DF">
        <w:rPr>
          <w:rFonts w:ascii="Times New Roman" w:hAnsi="Times New Roman" w:cs="Times New Roman"/>
          <w:bCs/>
          <w:sz w:val="24"/>
          <w:szCs w:val="24"/>
          <w:lang w:val="sq-AL"/>
        </w:rPr>
        <w:t>JUNIK</w:t>
      </w:r>
      <w:r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; dhe </w:t>
      </w:r>
    </w:p>
    <w:p w14:paraId="644B0B9A" w14:textId="77777777" w:rsidR="00116959" w:rsidRPr="00602736" w:rsidRDefault="00116959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E08ED29" w14:textId="77777777" w:rsidR="00602736" w:rsidRDefault="00B606CB" w:rsidP="00536D2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bCs/>
          <w:sz w:val="24"/>
          <w:szCs w:val="24"/>
          <w:lang w:val="sq-AL"/>
        </w:rPr>
        <w:t>Tatimpaguesi</w:t>
      </w:r>
      <w:r w:rsidR="00EF7EB6"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të dhënat si në vijim:</w:t>
      </w:r>
      <w:r w:rsidRPr="00FD541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</w:p>
    <w:p w14:paraId="277F0C0C" w14:textId="77777777" w:rsidR="00602736" w:rsidRPr="00602736" w:rsidRDefault="00602736" w:rsidP="00536D28">
      <w:pPr>
        <w:pStyle w:val="ListParagraph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8"/>
        <w:gridCol w:w="6212"/>
      </w:tblGrid>
      <w:tr w:rsidR="00284EBC" w14:paraId="43A6B2A4" w14:textId="77777777" w:rsidTr="00284E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FFDED25" w14:textId="77777777" w:rsidR="00284EBC" w:rsidRDefault="00EF7EB6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D541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284EBC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="00284EBC" w:rsidRPr="00EF7EB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Emër Mbiemër</w:t>
            </w:r>
          </w:p>
        </w:tc>
        <w:tc>
          <w:tcPr>
            <w:tcW w:w="6408" w:type="dxa"/>
            <w:tcBorders>
              <w:top w:val="nil"/>
              <w:left w:val="nil"/>
              <w:right w:val="nil"/>
            </w:tcBorders>
          </w:tcPr>
          <w:p w14:paraId="5B7F748A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284EBC" w14:paraId="6E8C01A8" w14:textId="77777777" w:rsidTr="00284E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D20159E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Pr="00EF7EB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Nr. personal/biznesi</w:t>
            </w:r>
          </w:p>
        </w:tc>
        <w:tc>
          <w:tcPr>
            <w:tcW w:w="6408" w:type="dxa"/>
            <w:tcBorders>
              <w:left w:val="nil"/>
              <w:right w:val="nil"/>
            </w:tcBorders>
          </w:tcPr>
          <w:p w14:paraId="02EA38A7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284EBC" w14:paraId="4B75E9E2" w14:textId="77777777" w:rsidTr="00284E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C288392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Adresa</w:t>
            </w:r>
          </w:p>
        </w:tc>
        <w:tc>
          <w:tcPr>
            <w:tcW w:w="6408" w:type="dxa"/>
            <w:tcBorders>
              <w:left w:val="nil"/>
              <w:right w:val="nil"/>
            </w:tcBorders>
          </w:tcPr>
          <w:p w14:paraId="094C340F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284EBC" w14:paraId="6325D987" w14:textId="77777777" w:rsidTr="00284E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9A530E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Pr="00EF7EB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EF7EB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tatimpaguesit</w:t>
            </w:r>
          </w:p>
        </w:tc>
        <w:tc>
          <w:tcPr>
            <w:tcW w:w="6408" w:type="dxa"/>
            <w:tcBorders>
              <w:left w:val="nil"/>
              <w:right w:val="nil"/>
            </w:tcBorders>
          </w:tcPr>
          <w:p w14:paraId="0C70EC4C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284EBC" w14:paraId="71987C77" w14:textId="77777777" w:rsidTr="009449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E16F98B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Nr. i objektit/</w:t>
            </w:r>
            <w:r w:rsidRPr="00EF7EB6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parcelë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</w:tc>
        <w:tc>
          <w:tcPr>
            <w:tcW w:w="6408" w:type="dxa"/>
            <w:tcBorders>
              <w:left w:val="nil"/>
              <w:right w:val="nil"/>
            </w:tcBorders>
          </w:tcPr>
          <w:p w14:paraId="127019BF" w14:textId="77777777" w:rsidR="00284EBC" w:rsidRDefault="00284EBC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44927" w14:paraId="216FF28D" w14:textId="77777777" w:rsidTr="009449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EBD766" w14:textId="77777777" w:rsidR="00944927" w:rsidRPr="00944927" w:rsidRDefault="00944927" w:rsidP="009449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- Nr. i telefonit</w:t>
            </w:r>
          </w:p>
        </w:tc>
        <w:tc>
          <w:tcPr>
            <w:tcW w:w="6408" w:type="dxa"/>
            <w:tcBorders>
              <w:left w:val="nil"/>
              <w:right w:val="nil"/>
            </w:tcBorders>
          </w:tcPr>
          <w:p w14:paraId="4FB30266" w14:textId="77777777" w:rsidR="00944927" w:rsidRDefault="00944927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44927" w14:paraId="2645FB1C" w14:textId="77777777" w:rsidTr="00284E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EB8E07D" w14:textId="77777777" w:rsidR="00944927" w:rsidRDefault="00944927" w:rsidP="009449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Adresa</w:t>
            </w:r>
          </w:p>
        </w:tc>
        <w:tc>
          <w:tcPr>
            <w:tcW w:w="6408" w:type="dxa"/>
            <w:tcBorders>
              <w:left w:val="nil"/>
              <w:bottom w:val="single" w:sz="4" w:space="0" w:color="auto"/>
              <w:right w:val="nil"/>
            </w:tcBorders>
          </w:tcPr>
          <w:p w14:paraId="7589105F" w14:textId="77777777" w:rsidR="00944927" w:rsidRDefault="00944927" w:rsidP="00536D2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65BF188B" w14:textId="77777777" w:rsidR="00EF7EB6" w:rsidRPr="00FD5413" w:rsidRDefault="00EF7EB6" w:rsidP="00536D28">
      <w:pPr>
        <w:pStyle w:val="ListParagraph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F1D6F40" w14:textId="77777777" w:rsidR="00116959" w:rsidRDefault="00116959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5741D386" w14:textId="77777777" w:rsidR="00EF7EB6" w:rsidRDefault="00EF7EB6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Cs/>
          <w:sz w:val="24"/>
          <w:szCs w:val="24"/>
          <w:lang w:val="sq-AL"/>
        </w:rPr>
        <w:t>Lidhin këtë:</w:t>
      </w:r>
    </w:p>
    <w:p w14:paraId="135C9D77" w14:textId="77777777" w:rsidR="00602736" w:rsidRDefault="00602736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3119347" w14:textId="77777777" w:rsidR="00116959" w:rsidRDefault="00116959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44BFBB6" w14:textId="77777777" w:rsidR="00116959" w:rsidRPr="00FD5413" w:rsidRDefault="00116959" w:rsidP="00536D2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20444B0" w14:textId="77777777" w:rsidR="00DB5494" w:rsidRPr="00FD5413" w:rsidRDefault="00CE6468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>KONTRATË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PËR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PAGESËN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>ME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KËSTE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>TË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DETYRIMEVE 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>TË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DB5494" w:rsidRPr="00FD5413">
        <w:rPr>
          <w:rFonts w:ascii="Times New Roman" w:hAnsi="Times New Roman" w:cs="Times New Roman"/>
          <w:b/>
          <w:sz w:val="28"/>
          <w:szCs w:val="24"/>
          <w:lang w:val="sq-AL"/>
        </w:rPr>
        <w:t>TATIM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>IT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NË</w:t>
      </w:r>
      <w:r w:rsidR="00602736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Pr="00FD5413">
        <w:rPr>
          <w:rFonts w:ascii="Times New Roman" w:hAnsi="Times New Roman" w:cs="Times New Roman"/>
          <w:b/>
          <w:sz w:val="28"/>
          <w:szCs w:val="24"/>
          <w:lang w:val="sq-AL"/>
        </w:rPr>
        <w:t xml:space="preserve"> PRONË</w:t>
      </w:r>
    </w:p>
    <w:p w14:paraId="58CC1064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79DC138" w14:textId="77777777" w:rsidR="00CE6468" w:rsidRPr="00FD5413" w:rsidRDefault="00EF7EB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Neni 1 </w:t>
      </w:r>
    </w:p>
    <w:p w14:paraId="6A0A429B" w14:textId="77777777" w:rsidR="00407AD8" w:rsidRDefault="00EF7EB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Qëllimi</w:t>
      </w:r>
    </w:p>
    <w:p w14:paraId="26AA162B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6212BA3" w14:textId="77777777" w:rsidR="00407AD8" w:rsidRPr="00FD5413" w:rsidRDefault="00407AD8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831585" w:rsidRPr="00FD5413">
        <w:rPr>
          <w:rFonts w:ascii="Times New Roman" w:hAnsi="Times New Roman" w:cs="Times New Roman"/>
          <w:sz w:val="24"/>
          <w:szCs w:val="24"/>
          <w:lang w:val="sq-AL"/>
        </w:rPr>
        <w:t>kontratë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në mes të Organit Administrativ dhe Tatimpaguesit lidhet me qëllim të pagimit </w:t>
      </w:r>
      <w:r w:rsidR="00CE6468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me këste 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të detyrimeve</w:t>
      </w:r>
      <w:r w:rsidR="00CE6468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të papaguara të tatimit në pronë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në mënyrë që tatimpaguesit t’i lehtësohet barra tatimore.</w:t>
      </w:r>
    </w:p>
    <w:p w14:paraId="2193F903" w14:textId="77777777" w:rsidR="00536D28" w:rsidRDefault="00536D28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4C4B80A" w14:textId="77777777" w:rsidR="00CE6468" w:rsidRPr="00FD5413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2 </w:t>
      </w:r>
    </w:p>
    <w:p w14:paraId="49D52A34" w14:textId="77777777" w:rsidR="00DB5494" w:rsidRDefault="00916087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Detyrimet e palëve kontraktuese</w:t>
      </w:r>
    </w:p>
    <w:p w14:paraId="11C0ED2D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1579A7C" w14:textId="77777777" w:rsidR="00BA7EFA" w:rsidRPr="00205FBE" w:rsidRDefault="00407AD8" w:rsidP="00205FBE">
      <w:pPr>
        <w:pStyle w:val="ListParagraph"/>
        <w:numPr>
          <w:ilvl w:val="0"/>
          <w:numId w:val="21"/>
        </w:num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05FBE">
        <w:rPr>
          <w:rFonts w:ascii="Times New Roman" w:hAnsi="Times New Roman" w:cs="Times New Roman"/>
          <w:sz w:val="24"/>
          <w:szCs w:val="24"/>
          <w:lang w:val="sq-AL"/>
        </w:rPr>
        <w:t xml:space="preserve">Tatimpaguesi </w:t>
      </w:r>
      <w:r w:rsidR="00831585" w:rsidRPr="00205FBE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205FBE">
        <w:rPr>
          <w:rFonts w:ascii="Times New Roman" w:hAnsi="Times New Roman" w:cs="Times New Roman"/>
          <w:sz w:val="24"/>
          <w:szCs w:val="24"/>
          <w:lang w:val="sq-AL"/>
        </w:rPr>
        <w:t>pranon detyrimet tatimor</w:t>
      </w:r>
      <w:r w:rsidR="000C5AB8" w:rsidRPr="00205FBE">
        <w:rPr>
          <w:rFonts w:ascii="Times New Roman" w:hAnsi="Times New Roman" w:cs="Times New Roman"/>
          <w:sz w:val="24"/>
          <w:szCs w:val="24"/>
          <w:lang w:val="sq-AL"/>
        </w:rPr>
        <w:t xml:space="preserve">e të llogaritura deri me datën e nënshkrimit të kësaj </w:t>
      </w:r>
      <w:r w:rsidR="00831585" w:rsidRPr="00205FBE">
        <w:rPr>
          <w:rFonts w:ascii="Times New Roman" w:hAnsi="Times New Roman" w:cs="Times New Roman"/>
          <w:sz w:val="24"/>
          <w:szCs w:val="24"/>
          <w:lang w:val="sq-AL"/>
        </w:rPr>
        <w:t>kontrate</w:t>
      </w:r>
      <w:r w:rsidR="00205FBE" w:rsidRPr="00205FBE">
        <w:rPr>
          <w:rFonts w:ascii="Times New Roman" w:hAnsi="Times New Roman" w:cs="Times New Roman"/>
          <w:sz w:val="24"/>
          <w:szCs w:val="24"/>
          <w:lang w:val="sq-AL"/>
        </w:rPr>
        <w:t xml:space="preserve"> në shumën prej 12,000.00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€, </w:t>
      </w:r>
      <w:r w:rsidR="00CC5D90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të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</w:t>
      </w:r>
      <w:r w:rsidR="00CC5D90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ën detyrohet ta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pagu</w:t>
      </w:r>
      <w:r w:rsidR="00CC5D90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aj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205FBE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në 24</w:t>
      </w:r>
      <w:r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këst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e</w:t>
      </w:r>
      <w:r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sipas nenit 3 të kësaj </w:t>
      </w:r>
      <w:r w:rsidR="00831585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kontrate</w:t>
      </w:r>
      <w:r w:rsidR="00205FBE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nga data 11.03.2022</w:t>
      </w:r>
      <w:r w:rsidR="004671F1" w:rsidRPr="00205FB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deri </w:t>
      </w:r>
      <w:r w:rsidR="000C5AB8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m</w:t>
      </w:r>
      <w:r w:rsidR="00205FBE" w:rsidRPr="00205FBE">
        <w:rPr>
          <w:rFonts w:ascii="Times New Roman" w:hAnsi="Times New Roman" w:cs="Times New Roman"/>
          <w:bCs/>
          <w:sz w:val="24"/>
          <w:szCs w:val="24"/>
          <w:lang w:val="sq-AL"/>
        </w:rPr>
        <w:t>ë datë 05.03.2024</w:t>
      </w:r>
      <w:r w:rsidRPr="00205FBE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08CE574C" w14:textId="77777777" w:rsidR="00205FBE" w:rsidRDefault="00205FBE" w:rsidP="00205FB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EF7C6B0" w14:textId="77777777" w:rsidR="00205FBE" w:rsidRDefault="00205FBE" w:rsidP="00205FB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Detaje t</w:t>
      </w:r>
      <w:r w:rsidRPr="00205FBE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detyrimeve tatimore:</w:t>
      </w:r>
    </w:p>
    <w:p w14:paraId="328E441A" w14:textId="77777777" w:rsidR="00205FBE" w:rsidRPr="00205FBE" w:rsidRDefault="00205FBE" w:rsidP="00205FB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05FBE">
        <w:rPr>
          <w:noProof/>
        </w:rPr>
        <w:drawing>
          <wp:inline distT="0" distB="0" distL="0" distR="0" wp14:anchorId="224BB163" wp14:editId="4CE0E247">
            <wp:extent cx="5943600" cy="13702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5E28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5F43EDA9" w14:textId="77777777" w:rsidR="00CE6468" w:rsidRPr="00FD5413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3 </w:t>
      </w:r>
    </w:p>
    <w:p w14:paraId="4C015106" w14:textId="77777777" w:rsidR="00DB5494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Pagesa me këste</w:t>
      </w:r>
      <w:r w:rsidR="00916087"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detyrimeve tatimore</w:t>
      </w:r>
    </w:p>
    <w:p w14:paraId="698E2AD8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E0E8E3E" w14:textId="77777777" w:rsidR="00944927" w:rsidRDefault="00944927" w:rsidP="0094492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44927">
        <w:rPr>
          <w:rFonts w:ascii="Times New Roman" w:hAnsi="Times New Roman" w:cs="Times New Roman"/>
          <w:sz w:val="24"/>
          <w:szCs w:val="24"/>
          <w:lang w:val="sq-AL"/>
        </w:rPr>
        <w:t>Pagesa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këstit të parë duhet bërë brenda 30 ditëve kalendarike nga data e nënshkrimit.</w:t>
      </w:r>
    </w:p>
    <w:p w14:paraId="5F7397F8" w14:textId="77777777" w:rsidR="00407AD8" w:rsidRPr="00944927" w:rsidRDefault="004671F1" w:rsidP="00944927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44927">
        <w:rPr>
          <w:rFonts w:ascii="Times New Roman" w:hAnsi="Times New Roman" w:cs="Times New Roman"/>
          <w:sz w:val="24"/>
          <w:szCs w:val="24"/>
          <w:lang w:val="sq-AL"/>
        </w:rPr>
        <w:t>Shuma e d</w:t>
      </w:r>
      <w:r w:rsidR="00407AD8" w:rsidRPr="00944927">
        <w:rPr>
          <w:rFonts w:ascii="Times New Roman" w:hAnsi="Times New Roman" w:cs="Times New Roman"/>
          <w:sz w:val="24"/>
          <w:szCs w:val="24"/>
          <w:lang w:val="sq-AL"/>
        </w:rPr>
        <w:t>etyrime</w:t>
      </w:r>
      <w:r w:rsidRPr="00944927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407AD8" w:rsidRPr="00944927">
        <w:rPr>
          <w:rFonts w:ascii="Times New Roman" w:hAnsi="Times New Roman" w:cs="Times New Roman"/>
          <w:sz w:val="24"/>
          <w:szCs w:val="24"/>
          <w:lang w:val="sq-AL"/>
        </w:rPr>
        <w:t xml:space="preserve"> tatimore</w:t>
      </w:r>
      <w:r w:rsidRPr="00944927">
        <w:rPr>
          <w:rFonts w:ascii="Times New Roman" w:hAnsi="Times New Roman" w:cs="Times New Roman"/>
          <w:sz w:val="24"/>
          <w:szCs w:val="24"/>
          <w:lang w:val="sq-AL"/>
        </w:rPr>
        <w:t xml:space="preserve"> sipas nenit 2 do të paguhe</w:t>
      </w:r>
      <w:r w:rsidR="0011695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944927">
        <w:rPr>
          <w:rFonts w:ascii="Times New Roman" w:hAnsi="Times New Roman" w:cs="Times New Roman"/>
          <w:sz w:val="24"/>
          <w:szCs w:val="24"/>
          <w:lang w:val="sq-AL"/>
        </w:rPr>
        <w:t xml:space="preserve"> si vijon:</w:t>
      </w:r>
    </w:p>
    <w:p w14:paraId="7099EED1" w14:textId="77777777" w:rsidR="004671F1" w:rsidRPr="00FD5413" w:rsidRDefault="00205FBE" w:rsidP="00205FBE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05FBE">
        <w:rPr>
          <w:noProof/>
        </w:rPr>
        <w:lastRenderedPageBreak/>
        <w:drawing>
          <wp:inline distT="0" distB="0" distL="0" distR="0" wp14:anchorId="6A55AA49" wp14:editId="7372B352">
            <wp:extent cx="5943600" cy="4376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AD14" w14:textId="77777777" w:rsidR="00580836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9DBBA80" w14:textId="77777777" w:rsidR="00580836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D8E78FE" w14:textId="77777777" w:rsidR="00CE6468" w:rsidRPr="00FD5413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4 </w:t>
      </w:r>
    </w:p>
    <w:p w14:paraId="0DC4A6D5" w14:textId="77777777" w:rsidR="00DB5494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Llogaritja e interesit</w:t>
      </w:r>
      <w:r w:rsidR="008D5696"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gjobës</w:t>
      </w:r>
    </w:p>
    <w:p w14:paraId="4C40E4E9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09AACF0" w14:textId="77777777" w:rsidR="00407AD8" w:rsidRPr="00FD5413" w:rsidRDefault="007C4B97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nteresi </w:t>
      </w:r>
      <w:r>
        <w:rPr>
          <w:rFonts w:ascii="Times New Roman" w:hAnsi="Times New Roman" w:cs="Times New Roman"/>
          <w:sz w:val="24"/>
          <w:szCs w:val="24"/>
          <w:lang w:val="sq-AL"/>
        </w:rPr>
        <w:t>do të llogaritet p</w:t>
      </w:r>
      <w:r w:rsidR="004671F1" w:rsidRPr="00FD5413">
        <w:rPr>
          <w:rFonts w:ascii="Times New Roman" w:hAnsi="Times New Roman" w:cs="Times New Roman"/>
          <w:sz w:val="24"/>
          <w:szCs w:val="24"/>
          <w:lang w:val="sq-AL"/>
        </w:rPr>
        <w:t>ër pjesën e mbetur të detyrimeve tatimore pas çdo pagese të k</w:t>
      </w:r>
      <w:r w:rsidR="008D5696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ëstit, ndërsa gjoba do të shqiptohet vetëm në detyrimet tatimore të vitit aktual </w:t>
      </w:r>
      <w:r w:rsidR="004671F1" w:rsidRPr="00FD5413">
        <w:rPr>
          <w:rFonts w:ascii="Times New Roman" w:hAnsi="Times New Roman" w:cs="Times New Roman"/>
          <w:sz w:val="24"/>
          <w:szCs w:val="24"/>
          <w:lang w:val="sq-AL"/>
        </w:rPr>
        <w:t>në kuptim të nen</w:t>
      </w:r>
      <w:r w:rsidR="008D5696" w:rsidRPr="00FD5413"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="004671F1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25</w:t>
      </w:r>
      <w:r w:rsidR="008D5696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dhe 35</w:t>
      </w:r>
      <w:r w:rsidR="004671F1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të Ligjit Nr. 06/L-005 për Tatimin në Pronën e Paluajtshme.</w:t>
      </w:r>
    </w:p>
    <w:p w14:paraId="78E95B69" w14:textId="77777777" w:rsidR="00116959" w:rsidRDefault="00116959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B64BE76" w14:textId="77777777" w:rsidR="00CE6468" w:rsidRPr="00FD5413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5 </w:t>
      </w:r>
    </w:p>
    <w:p w14:paraId="52EB7D52" w14:textId="77777777" w:rsidR="00DB5494" w:rsidRDefault="00E97D69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Shuarja</w:t>
      </w:r>
      <w:r w:rsidR="00CE6468"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kontratës</w:t>
      </w:r>
    </w:p>
    <w:p w14:paraId="2F33A56E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B5E435A" w14:textId="77777777" w:rsidR="0091576F" w:rsidRPr="00FD5413" w:rsidRDefault="00916087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AB54A8" w:rsidRPr="00FD5413">
        <w:rPr>
          <w:rFonts w:ascii="Times New Roman" w:hAnsi="Times New Roman" w:cs="Times New Roman"/>
          <w:sz w:val="24"/>
          <w:szCs w:val="24"/>
          <w:lang w:val="sq-AL"/>
        </w:rPr>
        <w:t>Kjo kontratë shuhet në momentin e përmbushjes së detyrimeve nga ana e tatimpaguesit</w:t>
      </w:r>
      <w:r w:rsidR="0091576F" w:rsidRPr="00FD541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4ABE19" w14:textId="77777777" w:rsidR="0091576F" w:rsidRPr="00FD5413" w:rsidRDefault="0091576F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2. Kjo kontratë shuhet edhe në momentin kur tatimpaguesi nuk i paguan </w:t>
      </w:r>
      <w:r w:rsidR="00BA07EE">
        <w:rPr>
          <w:rFonts w:ascii="Times New Roman" w:hAnsi="Times New Roman" w:cs="Times New Roman"/>
          <w:sz w:val="24"/>
          <w:szCs w:val="24"/>
          <w:lang w:val="sq-AL"/>
        </w:rPr>
        <w:t>3 (tre)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këste brenda afateve të parapara në nenin </w:t>
      </w:r>
      <w:r w:rsidR="00BA07EE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të kësaj kontrate.</w:t>
      </w:r>
    </w:p>
    <w:p w14:paraId="406B75DC" w14:textId="77777777" w:rsidR="0091576F" w:rsidRPr="00FD5413" w:rsidRDefault="00632DD8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r w:rsidR="0091576F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Organi administrativ sipas </w:t>
      </w:r>
      <w:r w:rsidR="00FD5413">
        <w:rPr>
          <w:rFonts w:ascii="Times New Roman" w:hAnsi="Times New Roman" w:cs="Times New Roman"/>
          <w:sz w:val="24"/>
          <w:szCs w:val="24"/>
          <w:lang w:val="sq-AL"/>
        </w:rPr>
        <w:t>paragrafit 1 dhe 2 të këtij neni</w:t>
      </w:r>
      <w:r w:rsidR="0091576F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detyrohet që të njoftojë tatimpaguesin kur kjo</w:t>
      </w:r>
      <w:r w:rsidR="00C0776D">
        <w:rPr>
          <w:rFonts w:ascii="Times New Roman" w:hAnsi="Times New Roman" w:cs="Times New Roman"/>
          <w:sz w:val="24"/>
          <w:szCs w:val="24"/>
          <w:lang w:val="sq-AL"/>
        </w:rPr>
        <w:t xml:space="preserve"> kontratë </w:t>
      </w:r>
      <w:r w:rsidR="00143131">
        <w:rPr>
          <w:rFonts w:ascii="Times New Roman" w:hAnsi="Times New Roman" w:cs="Times New Roman"/>
          <w:sz w:val="24"/>
          <w:szCs w:val="24"/>
          <w:lang w:val="sq-AL"/>
        </w:rPr>
        <w:t>shuhet</w:t>
      </w:r>
      <w:r w:rsidR="00C0776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1576F"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5955C46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01E415" w14:textId="77777777" w:rsidR="00580836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998072C" w14:textId="77777777" w:rsidR="00952C9B" w:rsidRPr="00FD5413" w:rsidRDefault="00952C9B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6</w:t>
      </w:r>
    </w:p>
    <w:p w14:paraId="4857DB1B" w14:textId="77777777" w:rsidR="00952C9B" w:rsidRDefault="00BA6630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Ndryshimi apo</w:t>
      </w:r>
      <w:r w:rsidR="000516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C5D90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FD5413">
        <w:rPr>
          <w:rFonts w:ascii="Times New Roman" w:hAnsi="Times New Roman" w:cs="Times New Roman"/>
          <w:b/>
          <w:sz w:val="24"/>
          <w:szCs w:val="24"/>
          <w:lang w:val="sq-AL"/>
        </w:rPr>
        <w:t>rishja</w:t>
      </w:r>
      <w:r w:rsidR="000516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52C9B"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CC5D90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52C9B" w:rsidRPr="00FD5413">
        <w:rPr>
          <w:rFonts w:ascii="Times New Roman" w:hAnsi="Times New Roman" w:cs="Times New Roman"/>
          <w:b/>
          <w:sz w:val="24"/>
          <w:szCs w:val="24"/>
          <w:lang w:val="sq-AL"/>
        </w:rPr>
        <w:t>ontratës</w:t>
      </w:r>
    </w:p>
    <w:p w14:paraId="6D7D7685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138B2BF" w14:textId="77777777" w:rsidR="00BC4C44" w:rsidRDefault="00BC4C44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FD5413">
        <w:rPr>
          <w:rFonts w:ascii="Times New Roman" w:hAnsi="Times New Roman" w:cs="Times New Roman"/>
          <w:sz w:val="24"/>
          <w:lang w:val="sq-AL"/>
        </w:rPr>
        <w:t>Nëse për shkak të rrethanave që krijohen pas lidhjes së kontratës, që</w:t>
      </w:r>
      <w:r w:rsidR="00FD5413" w:rsidRPr="00FD5413">
        <w:rPr>
          <w:rFonts w:ascii="Times New Roman" w:hAnsi="Times New Roman" w:cs="Times New Roman"/>
          <w:sz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lang w:val="sq-AL"/>
        </w:rPr>
        <w:t>nuk kanë mundur të parashikohen në kohën e lidhjes dhe në praninë e të cilave</w:t>
      </w:r>
      <w:r w:rsidR="00FD5413" w:rsidRPr="00FD5413">
        <w:rPr>
          <w:rFonts w:ascii="Times New Roman" w:hAnsi="Times New Roman" w:cs="Times New Roman"/>
          <w:sz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lang w:val="sq-AL"/>
        </w:rPr>
        <w:t>përmbushja e detyrimeve që burojnë nga kontrata bëhet jashtëzakonisht e vështirë</w:t>
      </w:r>
      <w:r w:rsidR="00FD5413" w:rsidRPr="00FD5413">
        <w:rPr>
          <w:rFonts w:ascii="Times New Roman" w:hAnsi="Times New Roman" w:cs="Times New Roman"/>
          <w:sz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për </w:t>
      </w:r>
      <w:r w:rsidR="00FD5413">
        <w:rPr>
          <w:rFonts w:ascii="Times New Roman" w:hAnsi="Times New Roman" w:cs="Times New Roman"/>
          <w:sz w:val="24"/>
          <w:lang w:val="sq-AL"/>
        </w:rPr>
        <w:t>tatimpaguesin</w:t>
      </w:r>
      <w:r w:rsidRPr="00FD5413">
        <w:rPr>
          <w:rFonts w:ascii="Times New Roman" w:hAnsi="Times New Roman" w:cs="Times New Roman"/>
          <w:sz w:val="24"/>
          <w:lang w:val="sq-AL"/>
        </w:rPr>
        <w:t>, palët kontraktuese mund të pajtohen për</w:t>
      </w:r>
      <w:r w:rsidR="00FD5413" w:rsidRPr="00FD5413">
        <w:rPr>
          <w:rFonts w:ascii="Times New Roman" w:hAnsi="Times New Roman" w:cs="Times New Roman"/>
          <w:sz w:val="24"/>
          <w:lang w:val="sq-AL"/>
        </w:rPr>
        <w:t xml:space="preserve"> 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ndryshimin apo </w:t>
      </w:r>
      <w:r w:rsidR="00FD5413">
        <w:rPr>
          <w:rFonts w:ascii="Times New Roman" w:hAnsi="Times New Roman" w:cs="Times New Roman"/>
          <w:sz w:val="24"/>
          <w:lang w:val="sq-AL"/>
        </w:rPr>
        <w:t>prishjen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 e saj.</w:t>
      </w:r>
    </w:p>
    <w:p w14:paraId="772E088C" w14:textId="77777777" w:rsidR="00BA6630" w:rsidRPr="00FD5413" w:rsidRDefault="00BA6630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14:paraId="3C0AE7C9" w14:textId="77777777" w:rsidR="00284EBC" w:rsidRDefault="00BA6630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7</w:t>
      </w:r>
    </w:p>
    <w:p w14:paraId="096AD1E1" w14:textId="77777777" w:rsidR="00BA6630" w:rsidRDefault="00BA6630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Shkëputja e njëanshme</w:t>
      </w: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ontratës</w:t>
      </w:r>
    </w:p>
    <w:p w14:paraId="62025FA1" w14:textId="77777777" w:rsidR="00BA6630" w:rsidRDefault="00BA6630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01B9ADA" w14:textId="77777777" w:rsidR="00BA6630" w:rsidRDefault="00BA6630" w:rsidP="00BA6630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1. Organi administrativ</w:t>
      </w:r>
      <w:r w:rsidRPr="00FD5413">
        <w:rPr>
          <w:rFonts w:ascii="Times New Roman" w:hAnsi="Times New Roman" w:cs="Times New Roman"/>
          <w:sz w:val="24"/>
          <w:lang w:val="sq-AL"/>
        </w:rPr>
        <w:t>, mund të shkëputë njëanshëm kontratë</w:t>
      </w:r>
      <w:r>
        <w:rPr>
          <w:rFonts w:ascii="Times New Roman" w:hAnsi="Times New Roman" w:cs="Times New Roman"/>
          <w:sz w:val="24"/>
          <w:lang w:val="sq-AL"/>
        </w:rPr>
        <w:t>n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, vetëm nëse është e domosdoshme për të shmangur apo eliminuar një dëmtim të rëndë të interesit publik. </w:t>
      </w:r>
    </w:p>
    <w:p w14:paraId="0E105E3D" w14:textId="77777777" w:rsidR="00BA6630" w:rsidRDefault="00BA6630" w:rsidP="00BA6630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2</w:t>
      </w:r>
      <w:r w:rsidRPr="00FD5413">
        <w:rPr>
          <w:rFonts w:ascii="Times New Roman" w:hAnsi="Times New Roman" w:cs="Times New Roman"/>
          <w:sz w:val="24"/>
          <w:lang w:val="sq-AL"/>
        </w:rPr>
        <w:t>. Shkëputja e njëanshme, do të bëhet me një akt administrativ. Akti administrativ për shkëputjen e njëanshme duhet të jetë me shkrim d</w:t>
      </w:r>
      <w:r>
        <w:rPr>
          <w:rFonts w:ascii="Times New Roman" w:hAnsi="Times New Roman" w:cs="Times New Roman"/>
          <w:sz w:val="24"/>
          <w:lang w:val="sq-AL"/>
        </w:rPr>
        <w:t>he i arsyetuar</w:t>
      </w:r>
      <w:r w:rsidRPr="00FD5413">
        <w:rPr>
          <w:rFonts w:ascii="Times New Roman" w:hAnsi="Times New Roman" w:cs="Times New Roman"/>
          <w:sz w:val="24"/>
          <w:lang w:val="sq-AL"/>
        </w:rPr>
        <w:t>.</w:t>
      </w:r>
      <w:r w:rsidRPr="00BA6630">
        <w:rPr>
          <w:rFonts w:ascii="Times New Roman" w:hAnsi="Times New Roman" w:cs="Times New Roman"/>
          <w:sz w:val="24"/>
          <w:lang w:val="sq-AL"/>
        </w:rPr>
        <w:t xml:space="preserve"> </w:t>
      </w:r>
    </w:p>
    <w:p w14:paraId="24FBF0C0" w14:textId="77777777" w:rsidR="00BA6630" w:rsidRPr="00FD5413" w:rsidRDefault="00BA6630" w:rsidP="00BA6630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3</w:t>
      </w:r>
      <w:r w:rsidRPr="00FD5413">
        <w:rPr>
          <w:rFonts w:ascii="Times New Roman" w:hAnsi="Times New Roman" w:cs="Times New Roman"/>
          <w:sz w:val="24"/>
          <w:lang w:val="sq-AL"/>
        </w:rPr>
        <w:t>. Ndaj aktit administrativ për shkëp</w:t>
      </w:r>
      <w:r>
        <w:rPr>
          <w:rFonts w:ascii="Times New Roman" w:hAnsi="Times New Roman" w:cs="Times New Roman"/>
          <w:sz w:val="24"/>
          <w:lang w:val="sq-AL"/>
        </w:rPr>
        <w:t>utjen e njëanshme të kontratës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lang w:val="sq-AL"/>
        </w:rPr>
        <w:t>tatimpaguesi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 mund</w:t>
      </w:r>
      <w:r>
        <w:rPr>
          <w:rFonts w:ascii="Times New Roman" w:hAnsi="Times New Roman" w:cs="Times New Roman"/>
          <w:sz w:val="24"/>
          <w:lang w:val="sq-AL"/>
        </w:rPr>
        <w:t xml:space="preserve"> të parashtrojë ankesë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lang w:val="sq-AL"/>
        </w:rPr>
        <w:t xml:space="preserve">pranë Departamentit të Tatimit në Pronë në Ministrinë e Financave, Punës dhe </w:t>
      </w:r>
      <w:proofErr w:type="spellStart"/>
      <w:r>
        <w:rPr>
          <w:rFonts w:ascii="Times New Roman" w:hAnsi="Times New Roman" w:cs="Times New Roman"/>
          <w:sz w:val="24"/>
          <w:lang w:val="sq-AL"/>
        </w:rPr>
        <w:t>Transfereve</w:t>
      </w:r>
      <w:proofErr w:type="spellEnd"/>
      <w:r w:rsidRPr="00FD5413">
        <w:rPr>
          <w:rFonts w:ascii="Times New Roman" w:hAnsi="Times New Roman" w:cs="Times New Roman"/>
          <w:sz w:val="24"/>
          <w:lang w:val="sq-AL"/>
        </w:rPr>
        <w:t>.</w:t>
      </w:r>
    </w:p>
    <w:p w14:paraId="704FBE21" w14:textId="77777777" w:rsidR="00BA6630" w:rsidRPr="00FD5413" w:rsidRDefault="00BA6630" w:rsidP="00BA6630">
      <w:pPr>
        <w:spacing w:after="0" w:line="276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14:paraId="3E3DE3A9" w14:textId="77777777" w:rsidR="00CE6468" w:rsidRDefault="00CE6468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BA6630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</w:p>
    <w:p w14:paraId="6753A4FB" w14:textId="77777777" w:rsidR="00FD5413" w:rsidRDefault="00FD5413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Mosmarrëveshjet eventuale</w:t>
      </w:r>
    </w:p>
    <w:p w14:paraId="0EED222E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A44EEE4" w14:textId="77777777" w:rsidR="00FD5413" w:rsidRPr="00FD5413" w:rsidRDefault="00FD5413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FD5413">
        <w:rPr>
          <w:rFonts w:ascii="Times New Roman" w:hAnsi="Times New Roman" w:cs="Times New Roman"/>
          <w:sz w:val="24"/>
          <w:lang w:val="sq-AL"/>
        </w:rPr>
        <w:t xml:space="preserve">Çdo mosmarrëveshje tjetër në mes të palëve kontraktuese, që buron nga </w:t>
      </w:r>
      <w:r w:rsidR="00F338A1">
        <w:rPr>
          <w:rFonts w:ascii="Times New Roman" w:hAnsi="Times New Roman" w:cs="Times New Roman"/>
          <w:sz w:val="24"/>
          <w:lang w:val="sq-AL"/>
        </w:rPr>
        <w:t>kjo</w:t>
      </w:r>
      <w:r w:rsidRPr="00FD5413">
        <w:rPr>
          <w:rFonts w:ascii="Times New Roman" w:hAnsi="Times New Roman" w:cs="Times New Roman"/>
          <w:sz w:val="24"/>
          <w:lang w:val="sq-AL"/>
        </w:rPr>
        <w:t xml:space="preserve"> kontratë administrative, do të zgjidhet drejtpërdrejt nga gjykata kompetente për konfliktet administrative.</w:t>
      </w:r>
    </w:p>
    <w:p w14:paraId="018D72CE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79F160" w14:textId="77777777" w:rsidR="00FD5413" w:rsidRPr="00FD5413" w:rsidRDefault="00FD5413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BA6630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14:paraId="232DAD9F" w14:textId="77777777" w:rsidR="00CE6468" w:rsidRDefault="00CE6468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Zbatimi i dispozitave</w:t>
      </w:r>
    </w:p>
    <w:p w14:paraId="2A6A5F27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DD127B5" w14:textId="77777777" w:rsidR="00CE6468" w:rsidRPr="00FD5413" w:rsidRDefault="00952C9B" w:rsidP="00536D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0"/>
          <w:lang w:val="sq-AL"/>
        </w:rPr>
        <w:t>Për interpretimin, vlefshmërinë si dhe zbatimin e kontratës administrative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, 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do të zbatohen </w:t>
      </w:r>
      <w:proofErr w:type="spellStart"/>
      <w:r w:rsidRPr="00FD5413">
        <w:rPr>
          <w:rFonts w:ascii="Times New Roman" w:hAnsi="Times New Roman" w:cs="Times New Roman"/>
          <w:sz w:val="24"/>
          <w:szCs w:val="20"/>
          <w:lang w:val="sq-AL"/>
        </w:rPr>
        <w:t>përshtatshmërisht</w:t>
      </w:r>
      <w:proofErr w:type="spellEnd"/>
      <w:r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 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>dispozitat e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 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tjera të 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Ligjit Nr. 05/L-031 për Procedurën e Përgjithshme Administrative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 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si edhe dispozitat e 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>L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igjit 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 xml:space="preserve">Nr. 04/L-077 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>p</w:t>
      </w:r>
      <w:r w:rsidRPr="00FD5413">
        <w:rPr>
          <w:rFonts w:ascii="Times New Roman" w:hAnsi="Times New Roman" w:cs="Times New Roman"/>
          <w:sz w:val="24"/>
          <w:szCs w:val="20"/>
          <w:lang w:val="sq-AL"/>
        </w:rPr>
        <w:t>ër Marrëdhëniet e Detyrimeve</w:t>
      </w:r>
      <w:r w:rsidR="00E97D69" w:rsidRPr="00FD5413">
        <w:rPr>
          <w:rFonts w:ascii="Times New Roman" w:hAnsi="Times New Roman" w:cs="Times New Roman"/>
          <w:sz w:val="24"/>
          <w:szCs w:val="20"/>
          <w:lang w:val="sq-AL"/>
        </w:rPr>
        <w:t>.</w:t>
      </w:r>
      <w:r w:rsidR="00143131">
        <w:rPr>
          <w:rFonts w:ascii="Times New Roman" w:hAnsi="Times New Roman" w:cs="Times New Roman"/>
          <w:sz w:val="24"/>
          <w:szCs w:val="20"/>
          <w:lang w:val="sq-AL"/>
        </w:rPr>
        <w:t xml:space="preserve"> </w:t>
      </w:r>
    </w:p>
    <w:p w14:paraId="6BED265A" w14:textId="77777777" w:rsidR="00952C9B" w:rsidRDefault="00952C9B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3E539E5" w14:textId="77777777" w:rsidR="00580836" w:rsidRPr="00FD5413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BEAA896" w14:textId="77777777" w:rsidR="00CE6468" w:rsidRPr="00FD5413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BA6630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44524447" w14:textId="77777777" w:rsidR="00DB5494" w:rsidRDefault="00DB5494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Hyrja në fuqi</w:t>
      </w:r>
    </w:p>
    <w:p w14:paraId="23124411" w14:textId="77777777" w:rsidR="00284EBC" w:rsidRPr="00FD5413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ECA05B6" w14:textId="77777777" w:rsidR="00407AD8" w:rsidRPr="00FD5413" w:rsidRDefault="004671F1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831585" w:rsidRPr="00FD5413">
        <w:rPr>
          <w:rFonts w:ascii="Times New Roman" w:hAnsi="Times New Roman" w:cs="Times New Roman"/>
          <w:sz w:val="24"/>
          <w:szCs w:val="24"/>
          <w:lang w:val="sq-AL"/>
        </w:rPr>
        <w:t>kontratë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 xml:space="preserve"> hyn në fuqi </w:t>
      </w:r>
      <w:r w:rsidR="00CE6468" w:rsidRPr="00FD5413">
        <w:rPr>
          <w:rFonts w:ascii="Times New Roman" w:hAnsi="Times New Roman" w:cs="Times New Roman"/>
          <w:sz w:val="24"/>
          <w:szCs w:val="24"/>
          <w:lang w:val="sq-AL"/>
        </w:rPr>
        <w:t>në datën e nënshkrimit</w:t>
      </w:r>
      <w:r w:rsidR="00051645">
        <w:rPr>
          <w:rFonts w:ascii="Times New Roman" w:hAnsi="Times New Roman" w:cs="Times New Roman"/>
          <w:sz w:val="24"/>
          <w:szCs w:val="24"/>
          <w:lang w:val="sq-AL"/>
        </w:rPr>
        <w:t xml:space="preserve"> nga palët kontraktuese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49E02B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829D5A5" w14:textId="77777777" w:rsidR="00580836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7F5F6E1" w14:textId="77777777" w:rsidR="00580836" w:rsidRDefault="00580836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20CEAB6" w14:textId="77777777" w:rsidR="00407AD8" w:rsidRDefault="00051645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1</w:t>
      </w:r>
      <w:r w:rsidR="00BA663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</w:p>
    <w:p w14:paraId="6494FAD7" w14:textId="77777777" w:rsidR="00051645" w:rsidRDefault="00051645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Kopjet dhe </w:t>
      </w:r>
      <w:r w:rsidR="00CC5D90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okumentet e bashkangjitura</w:t>
      </w:r>
    </w:p>
    <w:p w14:paraId="4268092F" w14:textId="77777777" w:rsidR="00284EBC" w:rsidRDefault="00284EBC" w:rsidP="00536D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C352C50" w14:textId="77777777" w:rsidR="00051645" w:rsidRDefault="00051645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1. Kjo kontratë është lidhur në 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tre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) kopje identike, prej të cilave tatimpaguesi mban 1 (një) kopje, ndërsa organi administrativ mban 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dy</w:t>
      </w:r>
      <w:r>
        <w:rPr>
          <w:rFonts w:ascii="Times New Roman" w:hAnsi="Times New Roman" w:cs="Times New Roman"/>
          <w:sz w:val="24"/>
          <w:szCs w:val="24"/>
          <w:lang w:val="sq-AL"/>
        </w:rPr>
        <w:t>) kopje</w:t>
      </w:r>
      <w:r w:rsidR="00A1059A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CC5D90">
        <w:rPr>
          <w:rFonts w:ascii="Times New Roman" w:hAnsi="Times New Roman" w:cs="Times New Roman"/>
          <w:sz w:val="24"/>
          <w:szCs w:val="24"/>
          <w:lang w:val="sq-AL"/>
        </w:rPr>
        <w:t xml:space="preserve"> tje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ra për Zyrën e Tatimit në Pronë dhe për Arkiv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EF1C38B" w14:textId="77777777" w:rsidR="00051645" w:rsidRDefault="00051645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Secilës kopje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bashkangjiten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kopja e letërnjoftimit të tatimpaguesit dhe fatura </w:t>
      </w:r>
      <w:r w:rsidRPr="00FD5413">
        <w:rPr>
          <w:rFonts w:ascii="Times New Roman" w:hAnsi="Times New Roman" w:cs="Times New Roman"/>
          <w:sz w:val="24"/>
          <w:szCs w:val="24"/>
          <w:lang w:val="sq-AL"/>
        </w:rPr>
        <w:t>me specifikimin e detyrimeve tatimore të nënshkruara nga tatimpaguesi</w:t>
      </w:r>
      <w:r w:rsidR="00B56B77">
        <w:rPr>
          <w:rFonts w:ascii="Times New Roman" w:hAnsi="Times New Roman" w:cs="Times New Roman"/>
          <w:sz w:val="24"/>
          <w:szCs w:val="24"/>
          <w:lang w:val="sq-AL"/>
        </w:rPr>
        <w:t>, si dhe udhëzuesi për zbatimin e kontratës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BE77419" w14:textId="77777777" w:rsidR="00051645" w:rsidRDefault="00051645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5DE3A9" w14:textId="77777777" w:rsidR="00536D28" w:rsidRPr="00051645" w:rsidRDefault="00536D28" w:rsidP="00536D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F3988C" w14:textId="77777777" w:rsidR="00DB5494" w:rsidRDefault="00DB5494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Data</w:t>
      </w:r>
      <w:r w:rsidR="004671F1" w:rsidRPr="00FD54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nënshkrimit</w:t>
      </w:r>
      <w:r w:rsidRPr="00FD5413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492FF7A5" w14:textId="77777777" w:rsidR="00CC5D90" w:rsidRPr="00FD5413" w:rsidRDefault="00536D28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__/__/____</w:t>
      </w:r>
    </w:p>
    <w:p w14:paraId="503C450A" w14:textId="77777777" w:rsidR="004671F1" w:rsidRPr="00FD5413" w:rsidRDefault="004671F1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3317124" w14:textId="7B1142A6" w:rsidR="00DB5494" w:rsidRPr="00FD5413" w:rsidRDefault="009F40F5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q-AL"/>
        </w:rPr>
        <w:t>Zv.</w:t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>Menaxher</w:t>
      </w:r>
      <w:r w:rsidR="00C8578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proofErr w:type="spellEnd"/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>Zyrës së Tatimit në Pronë</w:t>
      </w:r>
      <w:r w:rsidR="00284EB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284EB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284EBC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>Tatimpaguesi</w:t>
      </w:r>
    </w:p>
    <w:p w14:paraId="0ACE4A1F" w14:textId="77777777" w:rsidR="00DB5494" w:rsidRPr="00FD5413" w:rsidRDefault="00284EBC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>Emri dhe Mbiemri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56B77">
        <w:rPr>
          <w:rFonts w:ascii="Times New Roman" w:hAnsi="Times New Roman" w:cs="Times New Roman"/>
          <w:b/>
          <w:sz w:val="24"/>
          <w:szCs w:val="24"/>
          <w:lang w:val="sq-AL"/>
        </w:rPr>
        <w:t>Emri dhe Mbiemri</w:t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6FE4B26" w14:textId="77777777" w:rsidR="00284EBC" w:rsidRDefault="00284EBC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95BA03" w14:textId="77777777" w:rsidR="00DB5494" w:rsidRPr="00FD5413" w:rsidRDefault="00284EBC" w:rsidP="00536D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>______</w:t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>__________________</w:t>
      </w:r>
    </w:p>
    <w:p w14:paraId="7F0DCA52" w14:textId="77777777" w:rsidR="00DB5494" w:rsidRPr="00FD5413" w:rsidRDefault="00407AD8" w:rsidP="00536D2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lang w:val="sq-AL"/>
        </w:rPr>
      </w:pPr>
      <w:r w:rsidRPr="00FD5413">
        <w:rPr>
          <w:rFonts w:ascii="Times New Roman" w:hAnsi="Times New Roman" w:cs="Times New Roman"/>
          <w:i/>
          <w:sz w:val="20"/>
          <w:szCs w:val="24"/>
          <w:lang w:val="sq-AL"/>
        </w:rPr>
        <w:t>(Nënshkrimi)</w:t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B5494" w:rsidRPr="00FD5413">
        <w:rPr>
          <w:rFonts w:ascii="Times New Roman" w:hAnsi="Times New Roman" w:cs="Times New Roman"/>
          <w:i/>
          <w:sz w:val="20"/>
          <w:szCs w:val="24"/>
          <w:lang w:val="sq-AL"/>
        </w:rPr>
        <w:t>(</w:t>
      </w:r>
      <w:r w:rsidRPr="00FD5413">
        <w:rPr>
          <w:rFonts w:ascii="Times New Roman" w:hAnsi="Times New Roman" w:cs="Times New Roman"/>
          <w:i/>
          <w:sz w:val="20"/>
          <w:szCs w:val="24"/>
          <w:lang w:val="sq-AL"/>
        </w:rPr>
        <w:t>Nënshkrimi</w:t>
      </w:r>
      <w:r w:rsidR="00DB5494" w:rsidRPr="00FD5413">
        <w:rPr>
          <w:rFonts w:ascii="Times New Roman" w:hAnsi="Times New Roman" w:cs="Times New Roman"/>
          <w:i/>
          <w:sz w:val="20"/>
          <w:szCs w:val="24"/>
          <w:lang w:val="sq-AL"/>
        </w:rPr>
        <w:t>)</w:t>
      </w:r>
    </w:p>
    <w:p w14:paraId="4F17A5B2" w14:textId="77777777" w:rsidR="008D5696" w:rsidRPr="00FD5413" w:rsidRDefault="008D5696" w:rsidP="00536D2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lang w:val="sq-AL"/>
        </w:rPr>
      </w:pPr>
    </w:p>
    <w:p w14:paraId="593C8BE2" w14:textId="77777777" w:rsidR="00DB5494" w:rsidRPr="00FD5413" w:rsidRDefault="00DB5494" w:rsidP="00536D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DB5494" w:rsidRPr="00FD5413" w:rsidSect="003767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774" w14:textId="77777777" w:rsidR="00BD41F4" w:rsidRDefault="00BD41F4" w:rsidP="00BC73A4">
      <w:pPr>
        <w:spacing w:after="0" w:line="240" w:lineRule="auto"/>
      </w:pPr>
      <w:r>
        <w:separator/>
      </w:r>
    </w:p>
  </w:endnote>
  <w:endnote w:type="continuationSeparator" w:id="0">
    <w:p w14:paraId="29C1471F" w14:textId="77777777" w:rsidR="00BD41F4" w:rsidRDefault="00BD41F4" w:rsidP="00BC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53489"/>
      <w:docPartObj>
        <w:docPartGallery w:val="Page Numbers (Bottom of Page)"/>
        <w:docPartUnique/>
      </w:docPartObj>
    </w:sdtPr>
    <w:sdtContent>
      <w:p w14:paraId="45EE2EA8" w14:textId="77777777" w:rsidR="00107C99" w:rsidRDefault="002A3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0C75C" w14:textId="77777777" w:rsidR="00CC5D90" w:rsidRDefault="00CC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AB80" w14:textId="77777777" w:rsidR="00BD41F4" w:rsidRDefault="00BD41F4" w:rsidP="00BC73A4">
      <w:pPr>
        <w:spacing w:after="0" w:line="240" w:lineRule="auto"/>
      </w:pPr>
      <w:r>
        <w:separator/>
      </w:r>
    </w:p>
  </w:footnote>
  <w:footnote w:type="continuationSeparator" w:id="0">
    <w:p w14:paraId="10C214F9" w14:textId="77777777" w:rsidR="00BD41F4" w:rsidRDefault="00BD41F4" w:rsidP="00BC7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64E"/>
    <w:multiLevelType w:val="hybridMultilevel"/>
    <w:tmpl w:val="11D47540"/>
    <w:lvl w:ilvl="0" w:tplc="04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0145D04"/>
    <w:multiLevelType w:val="hybridMultilevel"/>
    <w:tmpl w:val="473C5D14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683D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2F66CB2"/>
    <w:multiLevelType w:val="hybridMultilevel"/>
    <w:tmpl w:val="88C2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3E18"/>
    <w:multiLevelType w:val="hybridMultilevel"/>
    <w:tmpl w:val="A10E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7B1F"/>
    <w:multiLevelType w:val="hybridMultilevel"/>
    <w:tmpl w:val="B4584110"/>
    <w:lvl w:ilvl="0" w:tplc="47481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1973"/>
    <w:multiLevelType w:val="hybridMultilevel"/>
    <w:tmpl w:val="2E76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400F"/>
    <w:multiLevelType w:val="hybridMultilevel"/>
    <w:tmpl w:val="6E9A6DCA"/>
    <w:lvl w:ilvl="0" w:tplc="0409000D">
      <w:start w:val="1"/>
      <w:numFmt w:val="bullet"/>
      <w:lvlText w:val=""/>
      <w:lvlJc w:val="left"/>
      <w:pPr>
        <w:ind w:left="1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35036E89"/>
    <w:multiLevelType w:val="multilevel"/>
    <w:tmpl w:val="BA341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2B1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A56F30"/>
    <w:multiLevelType w:val="hybridMultilevel"/>
    <w:tmpl w:val="442248E0"/>
    <w:lvl w:ilvl="0" w:tplc="6A6A0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192D"/>
    <w:multiLevelType w:val="hybridMultilevel"/>
    <w:tmpl w:val="0BECA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AD5FA2"/>
    <w:multiLevelType w:val="hybridMultilevel"/>
    <w:tmpl w:val="3C969C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2B63BD3"/>
    <w:multiLevelType w:val="hybridMultilevel"/>
    <w:tmpl w:val="9CCEF9DE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C38BE"/>
    <w:multiLevelType w:val="hybridMultilevel"/>
    <w:tmpl w:val="0EBA3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336DE6"/>
    <w:multiLevelType w:val="hybridMultilevel"/>
    <w:tmpl w:val="D64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C63E7"/>
    <w:multiLevelType w:val="hybridMultilevel"/>
    <w:tmpl w:val="8188A6B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379B5"/>
    <w:multiLevelType w:val="hybridMultilevel"/>
    <w:tmpl w:val="B80407B2"/>
    <w:lvl w:ilvl="0" w:tplc="A8F6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244B5"/>
    <w:multiLevelType w:val="hybridMultilevel"/>
    <w:tmpl w:val="2F4CF236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6D692B"/>
    <w:multiLevelType w:val="hybridMultilevel"/>
    <w:tmpl w:val="BBA6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1D02"/>
    <w:multiLevelType w:val="hybridMultilevel"/>
    <w:tmpl w:val="D2A8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2477">
    <w:abstractNumId w:val="12"/>
  </w:num>
  <w:num w:numId="2" w16cid:durableId="1620795386">
    <w:abstractNumId w:val="3"/>
  </w:num>
  <w:num w:numId="3" w16cid:durableId="1474759130">
    <w:abstractNumId w:val="11"/>
  </w:num>
  <w:num w:numId="4" w16cid:durableId="972293620">
    <w:abstractNumId w:val="14"/>
  </w:num>
  <w:num w:numId="5" w16cid:durableId="1210023888">
    <w:abstractNumId w:val="4"/>
  </w:num>
  <w:num w:numId="6" w16cid:durableId="215049344">
    <w:abstractNumId w:val="6"/>
  </w:num>
  <w:num w:numId="7" w16cid:durableId="1044908497">
    <w:abstractNumId w:val="19"/>
  </w:num>
  <w:num w:numId="8" w16cid:durableId="1858885313">
    <w:abstractNumId w:val="0"/>
  </w:num>
  <w:num w:numId="9" w16cid:durableId="971521254">
    <w:abstractNumId w:val="7"/>
  </w:num>
  <w:num w:numId="10" w16cid:durableId="51782490">
    <w:abstractNumId w:val="9"/>
  </w:num>
  <w:num w:numId="11" w16cid:durableId="692851056">
    <w:abstractNumId w:val="13"/>
  </w:num>
  <w:num w:numId="12" w16cid:durableId="6443519">
    <w:abstractNumId w:val="18"/>
  </w:num>
  <w:num w:numId="13" w16cid:durableId="1470781214">
    <w:abstractNumId w:val="16"/>
  </w:num>
  <w:num w:numId="14" w16cid:durableId="630786873">
    <w:abstractNumId w:val="15"/>
  </w:num>
  <w:num w:numId="15" w16cid:durableId="1663466660">
    <w:abstractNumId w:val="17"/>
  </w:num>
  <w:num w:numId="16" w16cid:durableId="1066805662">
    <w:abstractNumId w:val="5"/>
  </w:num>
  <w:num w:numId="17" w16cid:durableId="1092046396">
    <w:abstractNumId w:val="10"/>
  </w:num>
  <w:num w:numId="18" w16cid:durableId="323435876">
    <w:abstractNumId w:val="1"/>
  </w:num>
  <w:num w:numId="19" w16cid:durableId="1472552013">
    <w:abstractNumId w:val="2"/>
  </w:num>
  <w:num w:numId="20" w16cid:durableId="1731070899">
    <w:abstractNumId w:val="8"/>
  </w:num>
  <w:num w:numId="21" w16cid:durableId="14785695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MLc0N7IwNDU2sbBU0lEKTi0uzszPAymwqAUAlxYaZSwAAAA="/>
  </w:docVars>
  <w:rsids>
    <w:rsidRoot w:val="0030082F"/>
    <w:rsid w:val="0000324F"/>
    <w:rsid w:val="0001025D"/>
    <w:rsid w:val="000120A1"/>
    <w:rsid w:val="00024A2D"/>
    <w:rsid w:val="000457F9"/>
    <w:rsid w:val="00051645"/>
    <w:rsid w:val="00054FA8"/>
    <w:rsid w:val="000654A4"/>
    <w:rsid w:val="00074DD2"/>
    <w:rsid w:val="000801BE"/>
    <w:rsid w:val="00085068"/>
    <w:rsid w:val="00086262"/>
    <w:rsid w:val="00086BF7"/>
    <w:rsid w:val="000910A4"/>
    <w:rsid w:val="00097DAA"/>
    <w:rsid w:val="000A0C08"/>
    <w:rsid w:val="000C0A5D"/>
    <w:rsid w:val="000C4419"/>
    <w:rsid w:val="000C5AB8"/>
    <w:rsid w:val="000C7B94"/>
    <w:rsid w:val="000E1C57"/>
    <w:rsid w:val="000E4673"/>
    <w:rsid w:val="000F23F8"/>
    <w:rsid w:val="000F6B71"/>
    <w:rsid w:val="00107C99"/>
    <w:rsid w:val="00116959"/>
    <w:rsid w:val="00117A20"/>
    <w:rsid w:val="00127CF5"/>
    <w:rsid w:val="00137A90"/>
    <w:rsid w:val="00143131"/>
    <w:rsid w:val="00157F1B"/>
    <w:rsid w:val="00162E75"/>
    <w:rsid w:val="00166B80"/>
    <w:rsid w:val="0017230A"/>
    <w:rsid w:val="00186BAE"/>
    <w:rsid w:val="00195C73"/>
    <w:rsid w:val="001A088E"/>
    <w:rsid w:val="001D0161"/>
    <w:rsid w:val="001D286A"/>
    <w:rsid w:val="001D367A"/>
    <w:rsid w:val="001D779A"/>
    <w:rsid w:val="001E33A4"/>
    <w:rsid w:val="001E7F9E"/>
    <w:rsid w:val="00203895"/>
    <w:rsid w:val="00204AC7"/>
    <w:rsid w:val="00205FBE"/>
    <w:rsid w:val="002100EF"/>
    <w:rsid w:val="00224242"/>
    <w:rsid w:val="00234F22"/>
    <w:rsid w:val="00235C55"/>
    <w:rsid w:val="0024224A"/>
    <w:rsid w:val="002606C1"/>
    <w:rsid w:val="00276FE3"/>
    <w:rsid w:val="00284EBC"/>
    <w:rsid w:val="002A37F3"/>
    <w:rsid w:val="002A7961"/>
    <w:rsid w:val="002B07E5"/>
    <w:rsid w:val="002D084D"/>
    <w:rsid w:val="002D6830"/>
    <w:rsid w:val="002E5891"/>
    <w:rsid w:val="0030082F"/>
    <w:rsid w:val="003024C4"/>
    <w:rsid w:val="00311194"/>
    <w:rsid w:val="003178A9"/>
    <w:rsid w:val="00333D97"/>
    <w:rsid w:val="00337170"/>
    <w:rsid w:val="00340BAD"/>
    <w:rsid w:val="00341BA5"/>
    <w:rsid w:val="0035283B"/>
    <w:rsid w:val="0035452A"/>
    <w:rsid w:val="003625E7"/>
    <w:rsid w:val="003767D3"/>
    <w:rsid w:val="003839FE"/>
    <w:rsid w:val="003841F5"/>
    <w:rsid w:val="00384A9B"/>
    <w:rsid w:val="003917C4"/>
    <w:rsid w:val="003932F8"/>
    <w:rsid w:val="003B04E3"/>
    <w:rsid w:val="003B314A"/>
    <w:rsid w:val="003B76D6"/>
    <w:rsid w:val="003E33E1"/>
    <w:rsid w:val="003F3B65"/>
    <w:rsid w:val="00401F48"/>
    <w:rsid w:val="00404045"/>
    <w:rsid w:val="00404ABA"/>
    <w:rsid w:val="00407AD8"/>
    <w:rsid w:val="004157AB"/>
    <w:rsid w:val="00416465"/>
    <w:rsid w:val="00420DCD"/>
    <w:rsid w:val="00421AE8"/>
    <w:rsid w:val="004630DD"/>
    <w:rsid w:val="00464DFD"/>
    <w:rsid w:val="0046562C"/>
    <w:rsid w:val="00465B78"/>
    <w:rsid w:val="004671F1"/>
    <w:rsid w:val="00480EE8"/>
    <w:rsid w:val="00494976"/>
    <w:rsid w:val="004A5DBA"/>
    <w:rsid w:val="004A6764"/>
    <w:rsid w:val="004B604C"/>
    <w:rsid w:val="004E2024"/>
    <w:rsid w:val="004E5305"/>
    <w:rsid w:val="004F508A"/>
    <w:rsid w:val="00502F34"/>
    <w:rsid w:val="005042A1"/>
    <w:rsid w:val="00506939"/>
    <w:rsid w:val="00525104"/>
    <w:rsid w:val="0053497E"/>
    <w:rsid w:val="00536D28"/>
    <w:rsid w:val="00560021"/>
    <w:rsid w:val="00561217"/>
    <w:rsid w:val="005773A0"/>
    <w:rsid w:val="00580836"/>
    <w:rsid w:val="005810B0"/>
    <w:rsid w:val="00586147"/>
    <w:rsid w:val="00590D2C"/>
    <w:rsid w:val="005A2F7F"/>
    <w:rsid w:val="005A51F7"/>
    <w:rsid w:val="005C2A11"/>
    <w:rsid w:val="005D4AF1"/>
    <w:rsid w:val="005F5A9B"/>
    <w:rsid w:val="00602736"/>
    <w:rsid w:val="0062153C"/>
    <w:rsid w:val="00624380"/>
    <w:rsid w:val="006302AF"/>
    <w:rsid w:val="00632DD8"/>
    <w:rsid w:val="0064502F"/>
    <w:rsid w:val="00662F76"/>
    <w:rsid w:val="00664FC4"/>
    <w:rsid w:val="00673E7C"/>
    <w:rsid w:val="00681DE7"/>
    <w:rsid w:val="00691B17"/>
    <w:rsid w:val="006A1AB2"/>
    <w:rsid w:val="006A236B"/>
    <w:rsid w:val="006A3C53"/>
    <w:rsid w:val="006A4DC4"/>
    <w:rsid w:val="006D0E74"/>
    <w:rsid w:val="006D1821"/>
    <w:rsid w:val="006E30E2"/>
    <w:rsid w:val="0070453C"/>
    <w:rsid w:val="0070544D"/>
    <w:rsid w:val="007149DE"/>
    <w:rsid w:val="00717C4E"/>
    <w:rsid w:val="00751DCC"/>
    <w:rsid w:val="00752BE5"/>
    <w:rsid w:val="007565A0"/>
    <w:rsid w:val="0077289D"/>
    <w:rsid w:val="0077504A"/>
    <w:rsid w:val="0077795B"/>
    <w:rsid w:val="00792DDB"/>
    <w:rsid w:val="007B366C"/>
    <w:rsid w:val="007B56E5"/>
    <w:rsid w:val="007B7BDA"/>
    <w:rsid w:val="007C4B97"/>
    <w:rsid w:val="007D1908"/>
    <w:rsid w:val="007E01B0"/>
    <w:rsid w:val="007E72B9"/>
    <w:rsid w:val="007F126B"/>
    <w:rsid w:val="007F4EA2"/>
    <w:rsid w:val="00803105"/>
    <w:rsid w:val="00815142"/>
    <w:rsid w:val="00816B67"/>
    <w:rsid w:val="00824880"/>
    <w:rsid w:val="00831585"/>
    <w:rsid w:val="00835762"/>
    <w:rsid w:val="00837D8C"/>
    <w:rsid w:val="0084565E"/>
    <w:rsid w:val="00850A01"/>
    <w:rsid w:val="008522B6"/>
    <w:rsid w:val="00857638"/>
    <w:rsid w:val="00857FB8"/>
    <w:rsid w:val="00890FC8"/>
    <w:rsid w:val="00891D2A"/>
    <w:rsid w:val="008A6C03"/>
    <w:rsid w:val="008B1A82"/>
    <w:rsid w:val="008B3603"/>
    <w:rsid w:val="008B41D8"/>
    <w:rsid w:val="008D089B"/>
    <w:rsid w:val="008D191D"/>
    <w:rsid w:val="008D5696"/>
    <w:rsid w:val="008D6B6F"/>
    <w:rsid w:val="00910FA9"/>
    <w:rsid w:val="0091576F"/>
    <w:rsid w:val="00916087"/>
    <w:rsid w:val="009422BF"/>
    <w:rsid w:val="00942A53"/>
    <w:rsid w:val="00942A97"/>
    <w:rsid w:val="00944927"/>
    <w:rsid w:val="00952C9B"/>
    <w:rsid w:val="00954835"/>
    <w:rsid w:val="0097122D"/>
    <w:rsid w:val="00980716"/>
    <w:rsid w:val="00980FF0"/>
    <w:rsid w:val="00983086"/>
    <w:rsid w:val="009A2566"/>
    <w:rsid w:val="009C3E59"/>
    <w:rsid w:val="009F40F5"/>
    <w:rsid w:val="009F4456"/>
    <w:rsid w:val="00A1059A"/>
    <w:rsid w:val="00A13826"/>
    <w:rsid w:val="00A165DF"/>
    <w:rsid w:val="00A27CB0"/>
    <w:rsid w:val="00A31005"/>
    <w:rsid w:val="00A37BF2"/>
    <w:rsid w:val="00A37C0A"/>
    <w:rsid w:val="00A40996"/>
    <w:rsid w:val="00A5159D"/>
    <w:rsid w:val="00A621C3"/>
    <w:rsid w:val="00A65829"/>
    <w:rsid w:val="00A77BBB"/>
    <w:rsid w:val="00A80B65"/>
    <w:rsid w:val="00A81A94"/>
    <w:rsid w:val="00A872BB"/>
    <w:rsid w:val="00A87A9A"/>
    <w:rsid w:val="00A95106"/>
    <w:rsid w:val="00AA6857"/>
    <w:rsid w:val="00AB2826"/>
    <w:rsid w:val="00AB54A8"/>
    <w:rsid w:val="00AD628B"/>
    <w:rsid w:val="00AE17DC"/>
    <w:rsid w:val="00AE4E34"/>
    <w:rsid w:val="00AE7343"/>
    <w:rsid w:val="00B00AF8"/>
    <w:rsid w:val="00B32995"/>
    <w:rsid w:val="00B33811"/>
    <w:rsid w:val="00B45A61"/>
    <w:rsid w:val="00B56B77"/>
    <w:rsid w:val="00B606CB"/>
    <w:rsid w:val="00B63AD4"/>
    <w:rsid w:val="00B74134"/>
    <w:rsid w:val="00B74EB9"/>
    <w:rsid w:val="00B75F53"/>
    <w:rsid w:val="00B767FD"/>
    <w:rsid w:val="00BA07EE"/>
    <w:rsid w:val="00BA6630"/>
    <w:rsid w:val="00BA7EFA"/>
    <w:rsid w:val="00BB24CC"/>
    <w:rsid w:val="00BB4A8E"/>
    <w:rsid w:val="00BC4C44"/>
    <w:rsid w:val="00BC73A4"/>
    <w:rsid w:val="00BD03BA"/>
    <w:rsid w:val="00BD09DD"/>
    <w:rsid w:val="00BD2B7F"/>
    <w:rsid w:val="00BD41F4"/>
    <w:rsid w:val="00BD7A4A"/>
    <w:rsid w:val="00BE5E03"/>
    <w:rsid w:val="00BF0CBE"/>
    <w:rsid w:val="00BF78B1"/>
    <w:rsid w:val="00C021C7"/>
    <w:rsid w:val="00C0776D"/>
    <w:rsid w:val="00C335EA"/>
    <w:rsid w:val="00C42D68"/>
    <w:rsid w:val="00C4544B"/>
    <w:rsid w:val="00C624A6"/>
    <w:rsid w:val="00C76719"/>
    <w:rsid w:val="00C7716A"/>
    <w:rsid w:val="00C8578F"/>
    <w:rsid w:val="00C86816"/>
    <w:rsid w:val="00C873BD"/>
    <w:rsid w:val="00C947BC"/>
    <w:rsid w:val="00CB39BB"/>
    <w:rsid w:val="00CC5D90"/>
    <w:rsid w:val="00CC6D67"/>
    <w:rsid w:val="00CD03BD"/>
    <w:rsid w:val="00CD573B"/>
    <w:rsid w:val="00CD7CA2"/>
    <w:rsid w:val="00CE6468"/>
    <w:rsid w:val="00CF0159"/>
    <w:rsid w:val="00CF6CF8"/>
    <w:rsid w:val="00D27F3E"/>
    <w:rsid w:val="00D3744C"/>
    <w:rsid w:val="00D44392"/>
    <w:rsid w:val="00D50E99"/>
    <w:rsid w:val="00D5549B"/>
    <w:rsid w:val="00D57D84"/>
    <w:rsid w:val="00D72613"/>
    <w:rsid w:val="00D73411"/>
    <w:rsid w:val="00D97755"/>
    <w:rsid w:val="00DA0327"/>
    <w:rsid w:val="00DA5A8B"/>
    <w:rsid w:val="00DB4AD4"/>
    <w:rsid w:val="00DB5494"/>
    <w:rsid w:val="00DB77A6"/>
    <w:rsid w:val="00DD0517"/>
    <w:rsid w:val="00DD119E"/>
    <w:rsid w:val="00DD4761"/>
    <w:rsid w:val="00DE0B2F"/>
    <w:rsid w:val="00DE44A6"/>
    <w:rsid w:val="00DF1266"/>
    <w:rsid w:val="00DF4C8F"/>
    <w:rsid w:val="00E12B6F"/>
    <w:rsid w:val="00E216CD"/>
    <w:rsid w:val="00E35D03"/>
    <w:rsid w:val="00E37DAD"/>
    <w:rsid w:val="00E41CE9"/>
    <w:rsid w:val="00E4749D"/>
    <w:rsid w:val="00E60412"/>
    <w:rsid w:val="00E642F2"/>
    <w:rsid w:val="00E763C2"/>
    <w:rsid w:val="00E77575"/>
    <w:rsid w:val="00E8758D"/>
    <w:rsid w:val="00E9137C"/>
    <w:rsid w:val="00E94753"/>
    <w:rsid w:val="00E95910"/>
    <w:rsid w:val="00E97BC4"/>
    <w:rsid w:val="00E97D69"/>
    <w:rsid w:val="00EA1110"/>
    <w:rsid w:val="00EB4BBB"/>
    <w:rsid w:val="00EC0B2C"/>
    <w:rsid w:val="00EC1576"/>
    <w:rsid w:val="00EC6A0E"/>
    <w:rsid w:val="00EE311E"/>
    <w:rsid w:val="00EF149C"/>
    <w:rsid w:val="00EF7E18"/>
    <w:rsid w:val="00EF7EB6"/>
    <w:rsid w:val="00F0681F"/>
    <w:rsid w:val="00F15051"/>
    <w:rsid w:val="00F338A1"/>
    <w:rsid w:val="00F34782"/>
    <w:rsid w:val="00F40E3F"/>
    <w:rsid w:val="00F56DAA"/>
    <w:rsid w:val="00F6388B"/>
    <w:rsid w:val="00F70314"/>
    <w:rsid w:val="00F80D2A"/>
    <w:rsid w:val="00F879FE"/>
    <w:rsid w:val="00FA5799"/>
    <w:rsid w:val="00FB4611"/>
    <w:rsid w:val="00FB5706"/>
    <w:rsid w:val="00FD294F"/>
    <w:rsid w:val="00FD5413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016A"/>
  <w15:docId w15:val="{4525EE20-4158-4B93-942E-82292CD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C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3A4"/>
  </w:style>
  <w:style w:type="paragraph" w:styleId="Footer">
    <w:name w:val="footer"/>
    <w:basedOn w:val="Normal"/>
    <w:link w:val="FooterChar"/>
    <w:uiPriority w:val="99"/>
    <w:unhideWhenUsed/>
    <w:rsid w:val="00BC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3A4"/>
  </w:style>
  <w:style w:type="paragraph" w:customStyle="1" w:styleId="Default">
    <w:name w:val="Default"/>
    <w:rsid w:val="0040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A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A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8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674B-22B3-45C4-93CD-302138E1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Lumnije Hetemi</dc:creator>
  <cp:keywords/>
  <dc:description/>
  <cp:lastModifiedBy>Rrustem Pepshi</cp:lastModifiedBy>
  <cp:revision>4</cp:revision>
  <cp:lastPrinted>2022-03-03T14:37:00Z</cp:lastPrinted>
  <dcterms:created xsi:type="dcterms:W3CDTF">2022-03-03T14:45:00Z</dcterms:created>
  <dcterms:modified xsi:type="dcterms:W3CDTF">2023-04-12T06:31:00Z</dcterms:modified>
</cp:coreProperties>
</file>